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34A52" w14:textId="6BE21E01" w:rsidR="00B048E3" w:rsidRPr="00CE0424" w:rsidRDefault="00B048E3" w:rsidP="00B048E3">
      <w:pPr>
        <w:pStyle w:val="3GPPHeader"/>
        <w:spacing w:after="60"/>
        <w:rPr>
          <w:sz w:val="32"/>
          <w:szCs w:val="32"/>
          <w:highlight w:val="yellow"/>
        </w:rPr>
      </w:pPr>
      <w:r w:rsidRPr="00CE0424">
        <w:t>3GPP TSG-RAN WG</w:t>
      </w:r>
      <w:r>
        <w:t>1</w:t>
      </w:r>
      <w:r w:rsidRPr="00CE0424">
        <w:t xml:space="preserve"> </w:t>
      </w:r>
      <w:r>
        <w:t xml:space="preserve">Meeting </w:t>
      </w:r>
      <w:r w:rsidRPr="00CE0424">
        <w:t>#</w:t>
      </w:r>
      <w:r>
        <w:t>94</w:t>
      </w:r>
      <w:r w:rsidRPr="00CE0424">
        <w:tab/>
      </w:r>
      <w:r w:rsidRPr="00F42CAE">
        <w:rPr>
          <w:sz w:val="32"/>
          <w:szCs w:val="32"/>
        </w:rPr>
        <w:t xml:space="preserve"> </w:t>
      </w:r>
      <w:r w:rsidR="007D4358" w:rsidRPr="007D4358">
        <w:rPr>
          <w:sz w:val="32"/>
          <w:szCs w:val="32"/>
        </w:rPr>
        <w:t>R1-1809201</w:t>
      </w:r>
    </w:p>
    <w:p w14:paraId="4613C14C" w14:textId="49537302" w:rsidR="00B048E3" w:rsidRPr="00CE0424" w:rsidRDefault="00B048E3" w:rsidP="00891D52">
      <w:pPr>
        <w:pStyle w:val="3GPPHeader"/>
      </w:pPr>
      <w:r>
        <w:t>Gothenburg, Sweden</w:t>
      </w:r>
      <w:r w:rsidRPr="005B5E25">
        <w:t xml:space="preserve">, </w:t>
      </w:r>
      <w:r>
        <w:t>20</w:t>
      </w:r>
      <w:r w:rsidRPr="004270B7">
        <w:rPr>
          <w:vertAlign w:val="superscript"/>
        </w:rPr>
        <w:t>th</w:t>
      </w:r>
      <w:r>
        <w:t xml:space="preserve"> – 24</w:t>
      </w:r>
      <w:r w:rsidRPr="004270B7">
        <w:rPr>
          <w:vertAlign w:val="superscript"/>
        </w:rPr>
        <w:t>th</w:t>
      </w:r>
      <w:r>
        <w:t xml:space="preserve"> </w:t>
      </w:r>
      <w:r w:rsidR="00891D52">
        <w:t>August</w:t>
      </w:r>
      <w:r>
        <w:t xml:space="preserve"> </w:t>
      </w:r>
      <w:r w:rsidRPr="005B5E25">
        <w:t>2018</w:t>
      </w:r>
    </w:p>
    <w:p w14:paraId="7EEB5E57" w14:textId="7E072A00" w:rsidR="00B048E3" w:rsidRPr="008F1C4E" w:rsidRDefault="00B048E3" w:rsidP="00B048E3">
      <w:pPr>
        <w:pStyle w:val="3GPPHeader"/>
        <w:rPr>
          <w:sz w:val="22"/>
          <w:szCs w:val="22"/>
          <w:lang w:val="sv-FI"/>
        </w:rPr>
      </w:pPr>
      <w:r w:rsidRPr="00891D52">
        <w:rPr>
          <w:sz w:val="22"/>
          <w:szCs w:val="22"/>
          <w:lang w:val="sv-FI"/>
        </w:rPr>
        <w:t>Agenda Item:</w:t>
      </w:r>
      <w:r w:rsidRPr="00891D52">
        <w:rPr>
          <w:sz w:val="22"/>
          <w:szCs w:val="22"/>
          <w:lang w:val="sv-FI"/>
        </w:rPr>
        <w:tab/>
      </w:r>
      <w:r w:rsidR="00891D52" w:rsidRPr="00891D52">
        <w:rPr>
          <w:sz w:val="22"/>
          <w:szCs w:val="22"/>
          <w:lang w:val="sv-FI"/>
        </w:rPr>
        <w:t>7.2.2.2</w:t>
      </w:r>
    </w:p>
    <w:p w14:paraId="268F38BA" w14:textId="77777777" w:rsidR="00B048E3" w:rsidRPr="00CE0424" w:rsidRDefault="00B048E3" w:rsidP="00B048E3">
      <w:pPr>
        <w:pStyle w:val="3GPPHeader"/>
        <w:rPr>
          <w:sz w:val="22"/>
          <w:szCs w:val="22"/>
        </w:rPr>
      </w:pPr>
      <w:r>
        <w:rPr>
          <w:sz w:val="22"/>
          <w:szCs w:val="22"/>
        </w:rPr>
        <w:t>Source:</w:t>
      </w:r>
      <w:r w:rsidRPr="00CE0424">
        <w:rPr>
          <w:sz w:val="22"/>
          <w:szCs w:val="22"/>
        </w:rPr>
        <w:tab/>
        <w:t>Ericsson</w:t>
      </w:r>
    </w:p>
    <w:p w14:paraId="2467EAC2" w14:textId="74FC8162" w:rsidR="00E90E49" w:rsidRPr="00CE0424" w:rsidRDefault="003D3C45" w:rsidP="00311702">
      <w:pPr>
        <w:pStyle w:val="3GPPHeader"/>
        <w:rPr>
          <w:sz w:val="22"/>
          <w:szCs w:val="22"/>
        </w:rPr>
      </w:pPr>
      <w:r>
        <w:rPr>
          <w:sz w:val="22"/>
          <w:szCs w:val="22"/>
        </w:rPr>
        <w:t>Title:</w:t>
      </w:r>
      <w:r w:rsidR="00E90E49" w:rsidRPr="00CE0424">
        <w:rPr>
          <w:sz w:val="22"/>
          <w:szCs w:val="22"/>
        </w:rPr>
        <w:tab/>
      </w:r>
      <w:r w:rsidR="00421245" w:rsidRPr="00421245">
        <w:rPr>
          <w:sz w:val="22"/>
          <w:szCs w:val="22"/>
        </w:rPr>
        <w:t>Frame structure for NR-U</w:t>
      </w:r>
    </w:p>
    <w:p w14:paraId="41A5EA0B" w14:textId="77777777" w:rsidR="00E90E49" w:rsidRPr="00CE0424" w:rsidRDefault="00E90E49" w:rsidP="00D546FF">
      <w:pPr>
        <w:pStyle w:val="3GPPHeader"/>
        <w:rPr>
          <w:sz w:val="22"/>
          <w:szCs w:val="22"/>
        </w:rPr>
      </w:pPr>
      <w:r w:rsidRPr="00421245">
        <w:rPr>
          <w:sz w:val="22"/>
          <w:szCs w:val="22"/>
        </w:rPr>
        <w:t>Document for:</w:t>
      </w:r>
      <w:r w:rsidRPr="00421245">
        <w:rPr>
          <w:sz w:val="22"/>
          <w:szCs w:val="22"/>
        </w:rPr>
        <w:tab/>
      </w:r>
      <w:r w:rsidRPr="004E3838">
        <w:rPr>
          <w:sz w:val="22"/>
          <w:szCs w:val="22"/>
        </w:rPr>
        <w:t>Discussion, Decision</w:t>
      </w:r>
    </w:p>
    <w:p w14:paraId="37CFE3B4" w14:textId="0C85DD0A" w:rsidR="00E90E49" w:rsidRDefault="00230D18" w:rsidP="00CE0424">
      <w:pPr>
        <w:pStyle w:val="Heading1"/>
      </w:pPr>
      <w:r>
        <w:t>1</w:t>
      </w:r>
      <w:r>
        <w:tab/>
      </w:r>
      <w:r w:rsidR="00E90E49" w:rsidRPr="00CE0424">
        <w:t>Introduction</w:t>
      </w:r>
    </w:p>
    <w:p w14:paraId="067D936A" w14:textId="5DC347F6" w:rsidR="00E745CA" w:rsidRPr="00104DC8" w:rsidRDefault="00272093" w:rsidP="00104DC8">
      <w:pPr>
        <w:rPr>
          <w:rFonts w:cs="Arial"/>
        </w:rPr>
      </w:pPr>
      <w:r w:rsidRPr="00104DC8">
        <w:rPr>
          <w:rFonts w:ascii="Arial" w:hAnsi="Arial" w:cs="Arial"/>
        </w:rPr>
        <w:t>D</w:t>
      </w:r>
      <w:r w:rsidR="00E745CA" w:rsidRPr="00104DC8">
        <w:rPr>
          <w:rFonts w:ascii="Arial" w:hAnsi="Arial" w:cs="Arial"/>
        </w:rPr>
        <w:t>uring RAN1#92bis</w:t>
      </w:r>
      <w:r w:rsidR="00C5054E">
        <w:rPr>
          <w:rFonts w:ascii="Arial" w:hAnsi="Arial" w:cs="Arial"/>
        </w:rPr>
        <w:t xml:space="preserve"> [1]</w:t>
      </w:r>
      <w:r w:rsidR="00E745CA" w:rsidRPr="00104DC8">
        <w:rPr>
          <w:rFonts w:ascii="Arial" w:hAnsi="Arial" w:cs="Arial"/>
        </w:rPr>
        <w:t xml:space="preserve">, the following agreements were made: </w:t>
      </w:r>
    </w:p>
    <w:p w14:paraId="507712C2" w14:textId="77777777" w:rsidR="008E28FA" w:rsidRPr="00104DC8" w:rsidRDefault="008E28FA" w:rsidP="008E28FA">
      <w:pPr>
        <w:rPr>
          <w:rFonts w:ascii="Arial" w:hAnsi="Arial" w:cs="Arial"/>
          <w:lang w:eastAsia="en-US"/>
        </w:rPr>
      </w:pPr>
      <w:r w:rsidRPr="00104DC8">
        <w:rPr>
          <w:rFonts w:ascii="Arial" w:hAnsi="Arial" w:cs="Arial"/>
          <w:highlight w:val="green"/>
        </w:rPr>
        <w:t>Agreement:</w:t>
      </w:r>
    </w:p>
    <w:p w14:paraId="031786BB" w14:textId="77777777" w:rsidR="008E28FA" w:rsidRPr="00104DC8" w:rsidRDefault="008E28FA" w:rsidP="005F2550">
      <w:pPr>
        <w:widowControl w:val="0"/>
        <w:numPr>
          <w:ilvl w:val="0"/>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 xml:space="preserve">NR-U supports both Type-A and Type-B mapping already supported in NR </w:t>
      </w:r>
    </w:p>
    <w:p w14:paraId="389856C7" w14:textId="0312C8F9" w:rsidR="008E28FA" w:rsidRPr="00104DC8" w:rsidRDefault="005F2550" w:rsidP="005F2550">
      <w:pPr>
        <w:widowControl w:val="0"/>
        <w:numPr>
          <w:ilvl w:val="2"/>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 xml:space="preserve">FFS: </w:t>
      </w:r>
      <w:r w:rsidR="008E28FA" w:rsidRPr="00104DC8">
        <w:rPr>
          <w:rFonts w:ascii="Arial" w:hAnsi="Arial" w:cs="Arial"/>
          <w:lang w:val="en-US"/>
        </w:rPr>
        <w:t>Additional starting positions and durations are not precluded</w:t>
      </w:r>
    </w:p>
    <w:p w14:paraId="4745D587" w14:textId="6F44A416" w:rsidR="008E28FA" w:rsidRPr="00104DC8" w:rsidRDefault="008E28FA" w:rsidP="008E28FA">
      <w:pPr>
        <w:widowControl w:val="0"/>
        <w:numPr>
          <w:ilvl w:val="0"/>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For sub-7 GHz, NR-U study the SCSs, 15/30/60</w:t>
      </w:r>
      <w:r w:rsidR="003B4DD8">
        <w:rPr>
          <w:rFonts w:ascii="Arial" w:hAnsi="Arial" w:cs="Arial"/>
          <w:lang w:val="en-US"/>
        </w:rPr>
        <w:t>k</w:t>
      </w:r>
      <w:r w:rsidRPr="00104DC8">
        <w:rPr>
          <w:rFonts w:ascii="Arial" w:hAnsi="Arial" w:cs="Arial"/>
          <w:lang w:val="en-US"/>
        </w:rPr>
        <w:t>Hz</w:t>
      </w:r>
    </w:p>
    <w:p w14:paraId="5D1D8697" w14:textId="77777777" w:rsidR="008E28FA" w:rsidRPr="00104DC8" w:rsidRDefault="008E28FA" w:rsidP="008E28FA">
      <w:pPr>
        <w:widowControl w:val="0"/>
        <w:numPr>
          <w:ilvl w:val="1"/>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Study performance difference between different SCS</w:t>
      </w:r>
    </w:p>
    <w:p w14:paraId="50C133EF" w14:textId="77777777" w:rsidR="008E28FA" w:rsidRPr="00104DC8" w:rsidRDefault="008E28FA" w:rsidP="008E28FA">
      <w:pPr>
        <w:widowControl w:val="0"/>
        <w:numPr>
          <w:ilvl w:val="1"/>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Study if changes to UL design are needed to meet the PSD and OCB requirements</w:t>
      </w:r>
    </w:p>
    <w:p w14:paraId="1EF232F0" w14:textId="3757C705" w:rsidR="008E28FA" w:rsidRPr="00104DC8" w:rsidRDefault="008E28FA" w:rsidP="008E28FA">
      <w:pPr>
        <w:widowControl w:val="0"/>
        <w:numPr>
          <w:ilvl w:val="1"/>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Study if an SS block design/RMSI/OSI with 60</w:t>
      </w:r>
      <w:r w:rsidR="003B4DD8">
        <w:rPr>
          <w:rFonts w:ascii="Arial" w:hAnsi="Arial" w:cs="Arial"/>
          <w:lang w:val="en-US"/>
        </w:rPr>
        <w:t>k</w:t>
      </w:r>
      <w:r w:rsidRPr="00104DC8">
        <w:rPr>
          <w:rFonts w:ascii="Arial" w:hAnsi="Arial" w:cs="Arial"/>
          <w:lang w:val="en-US"/>
        </w:rPr>
        <w:t xml:space="preserve">Hz SCS is needed </w:t>
      </w:r>
    </w:p>
    <w:p w14:paraId="4C98F63B" w14:textId="77777777" w:rsidR="008E28FA" w:rsidRPr="00104DC8" w:rsidRDefault="008E28FA" w:rsidP="008E28FA">
      <w:pPr>
        <w:widowControl w:val="0"/>
        <w:numPr>
          <w:ilvl w:val="1"/>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 xml:space="preserve">Impact on MIB and SIB1 content </w:t>
      </w:r>
    </w:p>
    <w:p w14:paraId="232B157E" w14:textId="3D7ADB5D" w:rsidR="008E28FA" w:rsidRPr="00104DC8" w:rsidRDefault="008E28FA" w:rsidP="008E28FA">
      <w:pPr>
        <w:widowControl w:val="0"/>
        <w:numPr>
          <w:ilvl w:val="1"/>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Need for use of ECP for 60</w:t>
      </w:r>
      <w:r w:rsidR="003B4DD8">
        <w:rPr>
          <w:rFonts w:ascii="Arial" w:hAnsi="Arial" w:cs="Arial"/>
          <w:lang w:val="en-US"/>
        </w:rPr>
        <w:t>k</w:t>
      </w:r>
      <w:r w:rsidRPr="00104DC8">
        <w:rPr>
          <w:rFonts w:ascii="Arial" w:hAnsi="Arial" w:cs="Arial"/>
          <w:lang w:val="en-US"/>
        </w:rPr>
        <w:t>Hz</w:t>
      </w:r>
    </w:p>
    <w:p w14:paraId="46E4575E" w14:textId="77777777" w:rsidR="008E28FA" w:rsidRPr="00104DC8" w:rsidRDefault="008E28FA" w:rsidP="008E28FA">
      <w:pPr>
        <w:widowControl w:val="0"/>
        <w:numPr>
          <w:ilvl w:val="1"/>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RACH design with 60KHz SCS in addition to options currently part of NR</w:t>
      </w:r>
    </w:p>
    <w:p w14:paraId="40F88DC3" w14:textId="77777777" w:rsidR="008E28FA" w:rsidRPr="00104DC8" w:rsidRDefault="008E28FA" w:rsidP="008E28FA">
      <w:pPr>
        <w:widowControl w:val="0"/>
        <w:numPr>
          <w:ilvl w:val="1"/>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 xml:space="preserve">Other considerations are not precluded. </w:t>
      </w:r>
    </w:p>
    <w:p w14:paraId="1A6338CD" w14:textId="77777777" w:rsidR="008E28FA" w:rsidRPr="00104DC8" w:rsidRDefault="008E28FA" w:rsidP="008E28FA">
      <w:pPr>
        <w:widowControl w:val="0"/>
        <w:numPr>
          <w:ilvl w:val="1"/>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Impact on support of different BWs with different SCS</w:t>
      </w:r>
    </w:p>
    <w:p w14:paraId="6B86C478" w14:textId="77777777" w:rsidR="008E28FA" w:rsidRPr="00104DC8" w:rsidRDefault="008E28FA" w:rsidP="008E28FA">
      <w:pPr>
        <w:widowControl w:val="0"/>
        <w:numPr>
          <w:ilvl w:val="0"/>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 xml:space="preserve">Study supporting more than one switching points within a </w:t>
      </w:r>
      <w:proofErr w:type="spellStart"/>
      <w:r w:rsidRPr="00104DC8">
        <w:rPr>
          <w:rFonts w:ascii="Arial" w:hAnsi="Arial" w:cs="Arial"/>
          <w:lang w:val="en-US"/>
        </w:rPr>
        <w:t>TxOP</w:t>
      </w:r>
      <w:proofErr w:type="spellEnd"/>
    </w:p>
    <w:p w14:paraId="2C2C320C" w14:textId="77777777" w:rsidR="008E28FA" w:rsidRPr="00104DC8" w:rsidRDefault="008E28FA" w:rsidP="008E28FA">
      <w:pPr>
        <w:widowControl w:val="0"/>
        <w:numPr>
          <w:ilvl w:val="1"/>
          <w:numId w:val="29"/>
        </w:numPr>
        <w:overflowPunct/>
        <w:autoSpaceDE/>
        <w:autoSpaceDN/>
        <w:adjustRightInd/>
        <w:spacing w:after="0"/>
        <w:jc w:val="both"/>
        <w:textAlignment w:val="auto"/>
        <w:rPr>
          <w:rFonts w:ascii="Arial" w:hAnsi="Arial" w:cs="Arial"/>
          <w:lang w:val="en-US"/>
        </w:rPr>
      </w:pPr>
      <w:r w:rsidRPr="00104DC8">
        <w:rPr>
          <w:rFonts w:ascii="Arial" w:hAnsi="Arial" w:cs="Arial"/>
          <w:lang w:val="en-US"/>
        </w:rPr>
        <w:t xml:space="preserve">FFS the LBT requirement for each DL/UL data/control burst in the </w:t>
      </w:r>
      <w:proofErr w:type="spellStart"/>
      <w:r w:rsidRPr="00104DC8">
        <w:rPr>
          <w:rFonts w:ascii="Arial" w:hAnsi="Arial" w:cs="Arial"/>
          <w:lang w:val="en-US"/>
        </w:rPr>
        <w:t>TxOP</w:t>
      </w:r>
      <w:proofErr w:type="spellEnd"/>
    </w:p>
    <w:p w14:paraId="7361C651" w14:textId="27DB3520" w:rsidR="008E28FA" w:rsidRPr="00104DC8" w:rsidRDefault="008E28FA" w:rsidP="008E28FA">
      <w:pPr>
        <w:rPr>
          <w:rFonts w:ascii="Arial" w:hAnsi="Arial" w:cs="Arial"/>
          <w:lang w:val="en-US"/>
        </w:rPr>
      </w:pPr>
    </w:p>
    <w:p w14:paraId="5701D929" w14:textId="5620E7D3" w:rsidR="00891D52" w:rsidRPr="00891D52" w:rsidRDefault="00E745CA" w:rsidP="00891D52">
      <w:pPr>
        <w:rPr>
          <w:rFonts w:ascii="Arial" w:hAnsi="Arial" w:cs="Arial"/>
          <w:lang w:val="en-US"/>
        </w:rPr>
      </w:pPr>
      <w:r w:rsidRPr="00104DC8">
        <w:rPr>
          <w:rFonts w:ascii="Arial" w:hAnsi="Arial" w:cs="Arial"/>
          <w:lang w:val="en-US"/>
        </w:rPr>
        <w:t xml:space="preserve">In this contribution we provide our view on frame structure for NR-U, more specifically, on issues related to NR-U transmission granularity, </w:t>
      </w:r>
      <w:r w:rsidR="00891D52" w:rsidRPr="00104DC8">
        <w:rPr>
          <w:rFonts w:ascii="Arial" w:hAnsi="Arial" w:cs="Arial"/>
          <w:lang w:val="en-US"/>
        </w:rPr>
        <w:t>numerology,</w:t>
      </w:r>
      <w:r w:rsidR="006F1C0E" w:rsidRPr="00104DC8">
        <w:rPr>
          <w:rFonts w:ascii="Arial" w:hAnsi="Arial" w:cs="Arial"/>
          <w:lang w:val="en-US"/>
        </w:rPr>
        <w:t xml:space="preserve"> </w:t>
      </w:r>
      <w:r w:rsidRPr="00104DC8">
        <w:rPr>
          <w:rFonts w:ascii="Arial" w:hAnsi="Arial" w:cs="Arial"/>
          <w:lang w:val="en-US"/>
        </w:rPr>
        <w:t xml:space="preserve">wideband </w:t>
      </w:r>
      <w:proofErr w:type="gramStart"/>
      <w:r w:rsidRPr="00104DC8">
        <w:rPr>
          <w:rFonts w:ascii="Arial" w:hAnsi="Arial" w:cs="Arial"/>
          <w:lang w:val="en-US"/>
        </w:rPr>
        <w:t>operation</w:t>
      </w:r>
      <w:proofErr w:type="gramEnd"/>
      <w:r w:rsidR="006F1C0E">
        <w:rPr>
          <w:rFonts w:ascii="Arial" w:hAnsi="Arial" w:cs="Arial"/>
          <w:lang w:val="en-US"/>
        </w:rPr>
        <w:t xml:space="preserve"> and UE power saving mechanisms</w:t>
      </w:r>
      <w:r w:rsidRPr="00104DC8">
        <w:rPr>
          <w:rFonts w:ascii="Arial" w:hAnsi="Arial" w:cs="Arial"/>
          <w:lang w:val="en-US"/>
        </w:rPr>
        <w:t xml:space="preserve">. </w:t>
      </w:r>
      <w:bookmarkStart w:id="0" w:name="_Toc513130363"/>
    </w:p>
    <w:p w14:paraId="1BF55564" w14:textId="18F1BB14" w:rsidR="00891D52" w:rsidRPr="00891D52" w:rsidRDefault="00891D52" w:rsidP="00891D52">
      <w:pPr>
        <w:pStyle w:val="Heading1"/>
      </w:pPr>
      <w:r>
        <w:t>2</w:t>
      </w:r>
      <w:r>
        <w:tab/>
      </w:r>
      <w:r w:rsidR="00E745CA" w:rsidRPr="00891D52">
        <w:t xml:space="preserve">NR-U transmission </w:t>
      </w:r>
      <w:proofErr w:type="gramStart"/>
      <w:r w:rsidR="00E745CA" w:rsidRPr="00891D52">
        <w:t>granularity</w:t>
      </w:r>
      <w:proofErr w:type="gramEnd"/>
      <w:r w:rsidR="00E745CA" w:rsidRPr="00891D52" w:rsidDel="00E745CA">
        <w:t xml:space="preserve"> </w:t>
      </w:r>
      <w:bookmarkEnd w:id="0"/>
    </w:p>
    <w:p w14:paraId="5889CAC7" w14:textId="681D755A" w:rsidR="005F2550" w:rsidRDefault="00891D52" w:rsidP="00104DC8">
      <w:pPr>
        <w:pStyle w:val="BodyText"/>
      </w:pPr>
      <w:r>
        <w:t>I</w:t>
      </w:r>
      <w:r w:rsidR="005F2550">
        <w:t xml:space="preserve">n 3GPP NR Rel15 for licensed operation, downlink control information (DCI) is received over the physical layer downlink control channel (PDCCH). A PDCCH candidate is searched within a common or UE-specific search space which is mapped to a set of time and frequency resources referred to as a control resource set (CORESET). The search spaces within which PDCCH candidates must be monitored are configured to the UE via radio resource control (RRC) signalling. A monitoring periodicity is also configured for different PDCCH candidates. In any </w:t>
      </w:r>
      <w:proofErr w:type="gramStart"/>
      <w:r w:rsidR="005F2550">
        <w:t>particular slot</w:t>
      </w:r>
      <w:proofErr w:type="gramEnd"/>
      <w:r w:rsidR="005F2550">
        <w:t xml:space="preserve"> the UE may be configured to monitor multiple PDCCH candidates in multiple search spaces which may be mapped to one or more CORESETs. PDCCH candidates may need to be monitored multiple times in a slot, once every slot or once in multiple of slots. There are two kinds of transmission, i.e.</w:t>
      </w:r>
      <w:r w:rsidR="00C45A96">
        <w:t xml:space="preserve"> </w:t>
      </w:r>
      <w:r w:rsidR="006F1C0E">
        <w:t>Type</w:t>
      </w:r>
      <w:r w:rsidR="003B4DD8">
        <w:t xml:space="preserve"> </w:t>
      </w:r>
      <w:r w:rsidR="006F1C0E">
        <w:t xml:space="preserve">A </w:t>
      </w:r>
      <w:r w:rsidR="00C45A96">
        <w:t>(</w:t>
      </w:r>
      <w:r w:rsidR="005F2550">
        <w:t>slot-based</w:t>
      </w:r>
      <w:r w:rsidR="00C45A96">
        <w:t>)</w:t>
      </w:r>
      <w:r w:rsidR="005F2550">
        <w:t xml:space="preserve"> transmission and </w:t>
      </w:r>
      <w:r w:rsidR="00C45A96">
        <w:t xml:space="preserve">Type </w:t>
      </w:r>
      <w:r w:rsidR="006F1C0E">
        <w:t xml:space="preserve">B </w:t>
      </w:r>
      <w:r w:rsidR="00C45A96">
        <w:t>(</w:t>
      </w:r>
      <w:r w:rsidR="005F2550">
        <w:t>mini slot-based</w:t>
      </w:r>
      <w:r w:rsidR="00C45A96">
        <w:t>)</w:t>
      </w:r>
      <w:r w:rsidR="005F2550">
        <w:t xml:space="preserve"> transmission. </w:t>
      </w:r>
      <w:r w:rsidR="006F1C0E">
        <w:t xml:space="preserve">In DL, </w:t>
      </w:r>
      <w:r w:rsidR="009A3E1A">
        <w:t>Type B</w:t>
      </w:r>
      <w:r w:rsidR="00C45A96">
        <w:t xml:space="preserve"> </w:t>
      </w:r>
      <w:r w:rsidR="005F2550">
        <w:t xml:space="preserve">transmission could be started in any symbol with length of 2, 4 and 7 symbols. </w:t>
      </w:r>
      <w:r w:rsidR="006F1C0E">
        <w:t>In UL, Type B transmission could be started in any symbol with any length between {2 and 14} symbols.</w:t>
      </w:r>
    </w:p>
    <w:p w14:paraId="56CE92FA" w14:textId="1BC355C7" w:rsidR="00C45A96" w:rsidRDefault="00C45A96" w:rsidP="00664E50">
      <w:pPr>
        <w:pStyle w:val="Observation"/>
      </w:pPr>
      <w:bookmarkStart w:id="1" w:name="_Toc521718648"/>
      <w:r>
        <w:t xml:space="preserve">NR Rel15 supports DL </w:t>
      </w:r>
      <w:r w:rsidR="00CE1325">
        <w:t xml:space="preserve">and UL </w:t>
      </w:r>
      <w:r>
        <w:t>transmission starting in any symbol.</w:t>
      </w:r>
      <w:bookmarkEnd w:id="1"/>
      <w:r>
        <w:t xml:space="preserve">  </w:t>
      </w:r>
    </w:p>
    <w:p w14:paraId="2781A8EF" w14:textId="720B1761" w:rsidR="00C45A96" w:rsidRDefault="00664E50" w:rsidP="00664E50">
      <w:pPr>
        <w:pStyle w:val="Observation"/>
      </w:pPr>
      <w:bookmarkStart w:id="2" w:name="_Toc521718649"/>
      <w:r>
        <w:t>T</w:t>
      </w:r>
      <w:r w:rsidR="00C45A96">
        <w:t xml:space="preserve">he periodicity of the starting point is controlled by the CORESET and search space RRC configuration. The monitoring periodicity is decoupled from the supported Type </w:t>
      </w:r>
      <w:r w:rsidR="007D4358">
        <w:t>B</w:t>
      </w:r>
      <w:r w:rsidR="00C45A96">
        <w:t xml:space="preserve"> transmission duration</w:t>
      </w:r>
      <w:r w:rsidR="006F1C0E">
        <w:t>.</w:t>
      </w:r>
      <w:bookmarkEnd w:id="2"/>
    </w:p>
    <w:p w14:paraId="577A13E9" w14:textId="5870CABB" w:rsidR="00C45A96" w:rsidRDefault="00C45A96" w:rsidP="00664E50">
      <w:pPr>
        <w:pStyle w:val="Proposal"/>
      </w:pPr>
      <w:bookmarkStart w:id="3" w:name="_Toc521718653"/>
      <w:r>
        <w:t>No additional DL or UL starting positions are needed for NR-U</w:t>
      </w:r>
      <w:bookmarkEnd w:id="3"/>
      <w:r>
        <w:t xml:space="preserve">  </w:t>
      </w:r>
    </w:p>
    <w:p w14:paraId="52B1139B" w14:textId="6CADA006" w:rsidR="00DB72AF" w:rsidRDefault="00446710" w:rsidP="00DB72AF">
      <w:pPr>
        <w:pStyle w:val="Heading1"/>
      </w:pPr>
      <w:r>
        <w:lastRenderedPageBreak/>
        <w:t>3</w:t>
      </w:r>
      <w:r>
        <w:tab/>
      </w:r>
      <w:r w:rsidR="00DB72AF">
        <w:t>Numerology for NR-U</w:t>
      </w:r>
    </w:p>
    <w:p w14:paraId="5486DBDB" w14:textId="4E0129D4" w:rsidR="00DB72AF" w:rsidRDefault="005E076B" w:rsidP="00891D52">
      <w:pPr>
        <w:pStyle w:val="BodyText"/>
      </w:pPr>
      <w:r>
        <w:t>T</w:t>
      </w:r>
      <w:r w:rsidR="00DB72AF">
        <w:t>he transmission granularity</w:t>
      </w:r>
      <w:r w:rsidR="003B4DD8">
        <w:t xml:space="preserve"> can be </w:t>
      </w:r>
      <w:r w:rsidR="00891D52">
        <w:t>increased,</w:t>
      </w:r>
      <w:r w:rsidR="00DB72AF">
        <w:t xml:space="preserve"> and latency can be reduced if 30 kHz and 60 kHz subcarrier spacing are used as numerology candidates for NR in unlicensed spectrum for 5/6 GHz. 60KHz subcarrier spacing will enable 4 times higher channel access granularity as compared to LAA. </w:t>
      </w:r>
    </w:p>
    <w:p w14:paraId="52142F9A" w14:textId="51B5FC90" w:rsidR="007576E0" w:rsidRDefault="007576E0" w:rsidP="007576E0">
      <w:pPr>
        <w:pStyle w:val="BodyText"/>
      </w:pPr>
      <w:r>
        <w:t xml:space="preserve">To support 60kHz </w:t>
      </w:r>
      <w:proofErr w:type="spellStart"/>
      <w:r>
        <w:t>SCS</w:t>
      </w:r>
      <w:proofErr w:type="spellEnd"/>
      <w:r>
        <w:t xml:space="preserve"> for all </w:t>
      </w:r>
      <w:proofErr w:type="spellStart"/>
      <w:r>
        <w:t>signaling</w:t>
      </w:r>
      <w:proofErr w:type="spellEnd"/>
      <w:r>
        <w:t xml:space="preserve"> for NR-U operation below 6GHz, changes will be required. For instance, Rel-15 NR does not support </w:t>
      </w:r>
      <w:r w:rsidR="00DE6CE8">
        <w:t xml:space="preserve">a </w:t>
      </w:r>
      <w:r>
        <w:t>SS</w:t>
      </w:r>
      <w:r w:rsidR="00DE6CE8">
        <w:t>/PBCH block</w:t>
      </w:r>
      <w:r>
        <w:t xml:space="preserve"> using 60kHz. To enable that, </w:t>
      </w:r>
      <w:r w:rsidR="00DE6CE8">
        <w:t xml:space="preserve">a </w:t>
      </w:r>
      <w:r>
        <w:t>new SS</w:t>
      </w:r>
      <w:r w:rsidR="001B0387">
        <w:t>/PBCH block</w:t>
      </w:r>
      <w:r>
        <w:t xml:space="preserve"> design is needed. </w:t>
      </w:r>
      <w:r w:rsidR="00DE6CE8">
        <w:t xml:space="preserve">In addition, the candidate SS/PBCH positions for a half frame are not defined for 60kHz SCS.  </w:t>
      </w:r>
      <w:r w:rsidR="008F2233">
        <w:t xml:space="preserve">For NSA </w:t>
      </w:r>
      <w:r w:rsidR="00DE6CE8">
        <w:t xml:space="preserve">operation, </w:t>
      </w:r>
      <w:r w:rsidR="008F2233">
        <w:t xml:space="preserve">the network can indicate the SCS of the SS/PBCH </w:t>
      </w:r>
      <w:r w:rsidR="001B0387">
        <w:t xml:space="preserve">to the UE. The current </w:t>
      </w:r>
      <w:proofErr w:type="spellStart"/>
      <w:r w:rsidR="001B0387">
        <w:t>RRC</w:t>
      </w:r>
      <w:proofErr w:type="spellEnd"/>
      <w:r w:rsidR="001B0387">
        <w:t xml:space="preserve"> </w:t>
      </w:r>
      <w:proofErr w:type="spellStart"/>
      <w:r w:rsidR="001B0387">
        <w:t>signaling</w:t>
      </w:r>
      <w:proofErr w:type="spellEnd"/>
      <w:r w:rsidR="001B0387">
        <w:t xml:space="preserve"> </w:t>
      </w:r>
      <w:r w:rsidR="00DE6CE8">
        <w:t xml:space="preserve">does not support </w:t>
      </w:r>
      <w:r w:rsidR="00925088">
        <w:t xml:space="preserve">an SS/PBCH block with </w:t>
      </w:r>
      <w:r w:rsidR="00DE6CE8">
        <w:t>60 kHz SCS</w:t>
      </w:r>
      <w:r w:rsidR="001B0387">
        <w:t>.</w:t>
      </w:r>
      <w:r w:rsidR="0080323E">
        <w:t xml:space="preserve"> In Rel-15 NR, the SCS of RMSI, Msg.2/4 for initial access and broadcast SI-messages are signalled in the MIB using a 1-bit value representing 15kHz or 30k</w:t>
      </w:r>
      <w:r w:rsidR="003B4DD8">
        <w:t>H</w:t>
      </w:r>
      <w:r w:rsidR="0080323E">
        <w:t>z SCS for frequencies below 6 GHz</w:t>
      </w:r>
      <w:r w:rsidR="007142F5">
        <w:t xml:space="preserve"> and 60kHz or 120kHz for frequencies above 6GHz.</w:t>
      </w:r>
      <w:r w:rsidR="000A1264">
        <w:t xml:space="preserve"> To support an SS/PBCH block with 60 kHz SCS, either an additional bit needs to be added </w:t>
      </w:r>
      <w:r w:rsidR="008C000F">
        <w:t xml:space="preserve">in the MIB </w:t>
      </w:r>
      <w:r w:rsidR="000A1264">
        <w:t>or the existing bits need to be reinterpreted.</w:t>
      </w:r>
      <w:r w:rsidR="008C000F">
        <w:t xml:space="preserve"> The RMSI CORESET configuration is signalled to the UE using an index </w:t>
      </w:r>
      <w:r w:rsidR="00CF1F77">
        <w:t xml:space="preserve">0-255 that points to different tables for different combinations of SCS for SS/PBCH block and RMSI. </w:t>
      </w:r>
      <w:r w:rsidR="00F61332">
        <w:t xml:space="preserve">If a 60 kHz SS/PBCH block </w:t>
      </w:r>
      <w:r w:rsidR="00CA0538">
        <w:t xml:space="preserve">is introduced </w:t>
      </w:r>
      <w:r w:rsidR="00263A7D">
        <w:t>new tables would need to be added</w:t>
      </w:r>
      <w:r w:rsidR="00F61332">
        <w:t>.</w:t>
      </w:r>
    </w:p>
    <w:p w14:paraId="6B72FA0A" w14:textId="1B6709DE" w:rsidR="007576E0" w:rsidRDefault="006846A7" w:rsidP="007576E0">
      <w:pPr>
        <w:pStyle w:val="BodyText"/>
      </w:pPr>
      <w:r>
        <w:t>In addition</w:t>
      </w:r>
      <w:r w:rsidR="007576E0">
        <w:t xml:space="preserve">, the usage of 60kHz SCS for PRACH transmission is restricted to frequencies above 6GHz. For </w:t>
      </w:r>
      <w:r w:rsidR="003B4DD8">
        <w:t xml:space="preserve">operation </w:t>
      </w:r>
      <w:r w:rsidR="007576E0">
        <w:t>below 6GHz, the supported PRACH SCS</w:t>
      </w:r>
      <w:r w:rsidR="005530DD">
        <w:t>s</w:t>
      </w:r>
      <w:r w:rsidR="007576E0">
        <w:t xml:space="preserve"> are limited to 15 and 30kHz which is indicated by 1-bit in RRC RACH configuration. This is especially problematic for UL transmission where interlacing data and control using different subcarrier spacing adds complexity. To include 60kHz for PRACH transmission in spectrum below 6GHz, one of the following is needed: (1) extend RRC configuration to allow more than 2 SCS options, or (2) reinterpret existing configuration to indicate 30 or 60kHz SCS instead of 15 and 30kHz.</w:t>
      </w:r>
    </w:p>
    <w:p w14:paraId="46B92B77" w14:textId="333A9D75" w:rsidR="006A203B" w:rsidRDefault="006A203B" w:rsidP="007576E0">
      <w:pPr>
        <w:pStyle w:val="BodyText"/>
      </w:pPr>
      <w:r>
        <w:t>Designing a PRB-block interlaced UL for 60 kHz SCS with e.g. a 20 MHz system BW can result in limited scheduling flexibility and/or output power. To mitigate this</w:t>
      </w:r>
      <w:r w:rsidR="0004455C">
        <w:t>,</w:t>
      </w:r>
      <w:r>
        <w:t xml:space="preserve"> </w:t>
      </w:r>
      <w:r w:rsidR="0004455C">
        <w:t>introducing</w:t>
      </w:r>
      <w:r>
        <w:t xml:space="preserve"> a sub-PRB interlace design has been proposed</w:t>
      </w:r>
      <w:r w:rsidR="0004455C">
        <w:t>. However, introducing a sub-PRB interlace design would have considerable impact in the Rel-15 NR specifications as the PRB is a fundamental building block in the specifications.</w:t>
      </w:r>
    </w:p>
    <w:p w14:paraId="6E3DEAB8" w14:textId="669C3DAF" w:rsidR="008A1DAD" w:rsidRDefault="00784F07" w:rsidP="00891D52">
      <w:pPr>
        <w:pStyle w:val="Observation"/>
      </w:pPr>
      <w:bookmarkStart w:id="4" w:name="_Toc521718650"/>
      <w:r>
        <w:t xml:space="preserve">Supporting 60kHz for all </w:t>
      </w:r>
      <w:proofErr w:type="spellStart"/>
      <w:r>
        <w:t>signaling</w:t>
      </w:r>
      <w:proofErr w:type="spellEnd"/>
      <w:r>
        <w:t xml:space="preserve"> in NR-U requires considerable modifications </w:t>
      </w:r>
      <w:r w:rsidR="00C62702">
        <w:t>t</w:t>
      </w:r>
      <w:r>
        <w:t>o the Rel-15 NR specifications.</w:t>
      </w:r>
      <w:bookmarkEnd w:id="4"/>
    </w:p>
    <w:p w14:paraId="0AEF389C" w14:textId="2E8CC7F8" w:rsidR="0021716B" w:rsidRDefault="00287FE4" w:rsidP="00891D52">
      <w:pPr>
        <w:pStyle w:val="BodyText"/>
      </w:pPr>
      <w:r>
        <w:t>For outdoor deployments</w:t>
      </w:r>
      <w:r w:rsidR="005530DD">
        <w:t>,</w:t>
      </w:r>
      <w:r>
        <w:t xml:space="preserve"> even if output power is limited</w:t>
      </w:r>
      <w:r w:rsidR="005530DD">
        <w:t>,</w:t>
      </w:r>
      <w:r>
        <w:t xml:space="preserve"> considerable delay spread can still be observed. For 60kHz SCS with NCP, the cyclic prefix is 1.17us. This corresponds to path distance of 175.5m which is </w:t>
      </w:r>
      <w:proofErr w:type="gramStart"/>
      <w:r>
        <w:t>not unlikely</w:t>
      </w:r>
      <w:proofErr w:type="gramEnd"/>
      <w:r>
        <w:t xml:space="preserve"> in outdoor environments. </w:t>
      </w:r>
      <w:r w:rsidR="003A6E90">
        <w:t>The cyclic prefix of 60kHz SCS with ECP is 4.17us which would correspond to a path distance of 625.5m</w:t>
      </w:r>
      <w:r w:rsidR="009F3EB0">
        <w:t xml:space="preserve"> and would be sufficient for most outdoor small cell deployments</w:t>
      </w:r>
      <w:r w:rsidR="003A6E90">
        <w:t xml:space="preserve">. </w:t>
      </w:r>
    </w:p>
    <w:p w14:paraId="2C4639DA" w14:textId="6258930F" w:rsidR="0021716B" w:rsidRDefault="0021716B" w:rsidP="00891D52">
      <w:pPr>
        <w:pStyle w:val="BodyText"/>
        <w:rPr>
          <w:lang w:val="en-US"/>
        </w:rPr>
      </w:pPr>
      <w:r>
        <w:rPr>
          <w:lang w:val="en-US"/>
        </w:rPr>
        <w:t>Supporting ECP for 60 kHz SCS would further impact the SS/PBCH block design and candidate positions, bringing additional complexity to the specifications.</w:t>
      </w:r>
    </w:p>
    <w:p w14:paraId="7B0E8D1A" w14:textId="7231F489" w:rsidR="00B73AC1" w:rsidRPr="00B73AC1" w:rsidRDefault="009A3E1A" w:rsidP="00B73AC1">
      <w:pPr>
        <w:pStyle w:val="Observation"/>
      </w:pPr>
      <w:bookmarkStart w:id="5" w:name="_Toc521718651"/>
      <w:r>
        <w:t>If 60 kHz SCS was adopted for NR-U it brings additional complexity to specification work since ECP would need to be considered, e.g., for outdoor deployments.</w:t>
      </w:r>
      <w:bookmarkEnd w:id="5"/>
      <w:r>
        <w:t xml:space="preserve"> </w:t>
      </w:r>
    </w:p>
    <w:p w14:paraId="590392A3" w14:textId="77777777" w:rsidR="00577757" w:rsidRDefault="00577757" w:rsidP="00577757">
      <w:pPr>
        <w:pStyle w:val="BodyText"/>
        <w:rPr>
          <w:lang w:val="en-US"/>
        </w:rPr>
      </w:pPr>
      <w:r w:rsidRPr="00A029A9">
        <w:rPr>
          <w:lang w:val="en-US"/>
        </w:rPr>
        <w:t xml:space="preserve">In here, we evaluate </w:t>
      </w:r>
      <w:r>
        <w:rPr>
          <w:lang w:val="en-US"/>
        </w:rPr>
        <w:t xml:space="preserve">the performance difference between 15,30, and 60KHz in two scenarios: </w:t>
      </w:r>
    </w:p>
    <w:p w14:paraId="791D4AFB" w14:textId="77777777" w:rsidR="00577757" w:rsidRDefault="00577757" w:rsidP="00577757">
      <w:pPr>
        <w:pStyle w:val="BodyText"/>
        <w:numPr>
          <w:ilvl w:val="0"/>
          <w:numId w:val="31"/>
        </w:numPr>
        <w:rPr>
          <w:lang w:val="en-US"/>
        </w:rPr>
      </w:pPr>
      <w:r>
        <w:rPr>
          <w:lang w:val="en-US"/>
        </w:rPr>
        <w:t xml:space="preserve">Single NR-U operator </w:t>
      </w:r>
    </w:p>
    <w:p w14:paraId="73D2823B" w14:textId="77777777" w:rsidR="00577757" w:rsidRDefault="00577757" w:rsidP="00577757">
      <w:pPr>
        <w:pStyle w:val="BodyText"/>
        <w:numPr>
          <w:ilvl w:val="0"/>
          <w:numId w:val="31"/>
        </w:numPr>
        <w:rPr>
          <w:lang w:val="en-US"/>
        </w:rPr>
      </w:pPr>
      <w:r>
        <w:rPr>
          <w:lang w:val="en-US"/>
        </w:rPr>
        <w:t>NR-U operator coexisting with a Wi-Fi operator.</w:t>
      </w:r>
    </w:p>
    <w:p w14:paraId="4E9553D2" w14:textId="415A6495" w:rsidR="00997EFB" w:rsidRDefault="00D830AC" w:rsidP="008640D0">
      <w:pPr>
        <w:pStyle w:val="BodyText"/>
        <w:rPr>
          <w:lang w:val="en-US"/>
        </w:rPr>
      </w:pPr>
      <w:r>
        <w:t xml:space="preserve">We consider an indoor scenario of two operators running their networks in the same building as </w:t>
      </w:r>
      <w:r w:rsidR="002B46C3">
        <w:t>agreed and described in our companion contribution [</w:t>
      </w:r>
      <w:r w:rsidR="00C5054E">
        <w:t>2</w:t>
      </w:r>
      <w:r w:rsidR="002B46C3">
        <w:t>].</w:t>
      </w:r>
      <w:r>
        <w:t xml:space="preserve"> </w:t>
      </w:r>
      <w:r w:rsidR="00577757">
        <w:rPr>
          <w:lang w:val="en-US"/>
        </w:rPr>
        <w:t xml:space="preserve">In the single operator case, it is assumed that </w:t>
      </w:r>
      <w:r w:rsidR="002B46C3">
        <w:rPr>
          <w:lang w:val="en-US"/>
        </w:rPr>
        <w:t xml:space="preserve">one of the </w:t>
      </w:r>
      <w:r w:rsidR="00577757">
        <w:rPr>
          <w:lang w:val="en-US"/>
        </w:rPr>
        <w:t xml:space="preserve">operator does not serve any traffic. </w:t>
      </w:r>
      <w:r w:rsidR="00C37B4D">
        <w:rPr>
          <w:lang w:val="en-US"/>
        </w:rPr>
        <w:t>For UL, self-scheduling is being considered, i.e. the grant is also sent on the unlicensed carrier. It is also assumed that only slot scheduling is used for the uplink</w:t>
      </w:r>
      <w:r w:rsidR="008172AE">
        <w:rPr>
          <w:lang w:val="en-US"/>
        </w:rPr>
        <w:t>. F</w:t>
      </w:r>
      <w:r w:rsidR="009D1941">
        <w:rPr>
          <w:lang w:val="en-US"/>
        </w:rPr>
        <w:t xml:space="preserve">or DL, Type B scheduling </w:t>
      </w:r>
      <w:r w:rsidR="008172AE">
        <w:rPr>
          <w:lang w:val="en-US"/>
        </w:rPr>
        <w:t xml:space="preserve">starting at any symbol is enabled. We believe that the highest UL performance difference between different SCS </w:t>
      </w:r>
      <w:r w:rsidR="009A3E1A">
        <w:rPr>
          <w:lang w:val="en-US"/>
        </w:rPr>
        <w:t xml:space="preserve">can be </w:t>
      </w:r>
      <w:r w:rsidR="008172AE">
        <w:rPr>
          <w:lang w:val="en-US"/>
        </w:rPr>
        <w:t>observed in this case.</w:t>
      </w:r>
      <w:r w:rsidR="007D4358">
        <w:rPr>
          <w:lang w:val="en-US"/>
        </w:rPr>
        <w:t xml:space="preserve"> Finally, UE capability #1 processing delays are modelled. </w:t>
      </w:r>
      <w:r w:rsidR="006F74D5">
        <w:rPr>
          <w:lang w:val="en-US"/>
        </w:rPr>
        <w:t xml:space="preserve">In Figure 1,2,3 and 4 we present the mean UL/DL object data rate per UE for 15,30 and 70 % buffer occupancy that represent low, </w:t>
      </w:r>
      <w:proofErr w:type="gramStart"/>
      <w:r w:rsidR="006F74D5">
        <w:rPr>
          <w:lang w:val="en-US"/>
        </w:rPr>
        <w:t>medium</w:t>
      </w:r>
      <w:proofErr w:type="gramEnd"/>
      <w:r w:rsidR="006F74D5">
        <w:rPr>
          <w:lang w:val="en-US"/>
        </w:rPr>
        <w:t xml:space="preserve"> and high load. </w:t>
      </w:r>
    </w:p>
    <w:p w14:paraId="523ACA26" w14:textId="77777777" w:rsidR="007D4A34" w:rsidRDefault="00E02AD2" w:rsidP="00131B51">
      <w:pPr>
        <w:pStyle w:val="BodyText"/>
        <w:keepNext/>
        <w:jc w:val="center"/>
      </w:pPr>
      <w:r>
        <w:rPr>
          <w:noProof/>
          <w:lang w:val="en-US"/>
        </w:rPr>
        <w:lastRenderedPageBreak/>
        <w:drawing>
          <wp:inline distT="0" distB="0" distL="0" distR="0" wp14:anchorId="036A735B" wp14:editId="7906F0F3">
            <wp:extent cx="4157933" cy="2199735"/>
            <wp:effectExtent l="0" t="0" r="14605" b="1016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9633B40" w14:textId="2921152D" w:rsidR="0064569D" w:rsidRPr="00131B51" w:rsidRDefault="007D4A34" w:rsidP="00131B51">
      <w:pPr>
        <w:pStyle w:val="Caption"/>
        <w:jc w:val="center"/>
        <w:rPr>
          <w:rFonts w:ascii="Arial" w:hAnsi="Arial"/>
          <w:noProof/>
          <w:lang w:eastAsia="zh-CN"/>
        </w:rPr>
      </w:pPr>
      <w:r>
        <w:t xml:space="preserve">Figure </w:t>
      </w:r>
      <w:r w:rsidR="009C4596">
        <w:rPr>
          <w:noProof/>
        </w:rPr>
        <w:fldChar w:fldCharType="begin"/>
      </w:r>
      <w:r w:rsidR="009C4596">
        <w:rPr>
          <w:noProof/>
        </w:rPr>
        <w:instrText xml:space="preserve"> SEQ Figure \* ARABIC </w:instrText>
      </w:r>
      <w:r w:rsidR="009C4596">
        <w:rPr>
          <w:noProof/>
        </w:rPr>
        <w:fldChar w:fldCharType="separate"/>
      </w:r>
      <w:r w:rsidR="008640D0">
        <w:rPr>
          <w:noProof/>
        </w:rPr>
        <w:t>1</w:t>
      </w:r>
      <w:r w:rsidR="009C4596">
        <w:rPr>
          <w:noProof/>
        </w:rPr>
        <w:fldChar w:fldCharType="end"/>
      </w:r>
      <w:r>
        <w:rPr>
          <w:lang w:val="en-US"/>
        </w:rPr>
        <w:t>:</w:t>
      </w:r>
      <w:r w:rsidRPr="007D4A34">
        <w:rPr>
          <w:lang w:val="en-US"/>
        </w:rPr>
        <w:t xml:space="preserve"> </w:t>
      </w:r>
      <w:r>
        <w:rPr>
          <w:lang w:val="en-US"/>
        </w:rPr>
        <w:t>UL performance using different SCS in a single NR-U indoor network deployment</w:t>
      </w:r>
    </w:p>
    <w:p w14:paraId="1A6ABE15" w14:textId="77777777" w:rsidR="0064569D" w:rsidRDefault="0064569D" w:rsidP="00577757">
      <w:pPr>
        <w:pStyle w:val="BodyText"/>
        <w:rPr>
          <w:lang w:val="en-US"/>
        </w:rPr>
      </w:pPr>
    </w:p>
    <w:p w14:paraId="27345DA3" w14:textId="77777777" w:rsidR="007D4A34" w:rsidRDefault="00EB1DD1" w:rsidP="00131B51">
      <w:pPr>
        <w:pStyle w:val="BodyText"/>
        <w:keepNext/>
        <w:jc w:val="center"/>
      </w:pPr>
      <w:r>
        <w:rPr>
          <w:noProof/>
          <w:lang w:val="en-US"/>
        </w:rPr>
        <w:drawing>
          <wp:inline distT="0" distB="0" distL="0" distR="0" wp14:anchorId="3462E11B" wp14:editId="080B09B6">
            <wp:extent cx="4157933" cy="2700044"/>
            <wp:effectExtent l="0" t="0" r="14605" b="508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754A989" w14:textId="164D9D0B" w:rsidR="0064569D" w:rsidRDefault="007D4A34" w:rsidP="00131B51">
      <w:pPr>
        <w:pStyle w:val="Caption"/>
        <w:jc w:val="center"/>
        <w:rPr>
          <w:lang w:val="en-US"/>
        </w:rPr>
      </w:pPr>
      <w:r>
        <w:t xml:space="preserve">Figure </w:t>
      </w:r>
      <w:r w:rsidR="009C4596">
        <w:rPr>
          <w:noProof/>
        </w:rPr>
        <w:fldChar w:fldCharType="begin"/>
      </w:r>
      <w:r w:rsidR="009C4596">
        <w:rPr>
          <w:noProof/>
        </w:rPr>
        <w:instrText xml:space="preserve"> SEQ Figure \* ARABIC </w:instrText>
      </w:r>
      <w:r w:rsidR="009C4596">
        <w:rPr>
          <w:noProof/>
        </w:rPr>
        <w:fldChar w:fldCharType="separate"/>
      </w:r>
      <w:r w:rsidR="008640D0">
        <w:rPr>
          <w:noProof/>
        </w:rPr>
        <w:t>2</w:t>
      </w:r>
      <w:r w:rsidR="009C4596">
        <w:rPr>
          <w:noProof/>
        </w:rPr>
        <w:fldChar w:fldCharType="end"/>
      </w:r>
      <w:r>
        <w:rPr>
          <w:lang w:val="en-US"/>
        </w:rPr>
        <w:t xml:space="preserve">: </w:t>
      </w:r>
      <w:r w:rsidR="00131B51" w:rsidRPr="00D63CB9">
        <w:rPr>
          <w:lang w:val="en-US"/>
        </w:rPr>
        <w:t>DL performance</w:t>
      </w:r>
      <w:r w:rsidRPr="00D63CB9">
        <w:rPr>
          <w:lang w:val="en-US"/>
        </w:rPr>
        <w:t xml:space="preserve"> using different SCS in a single NR-U indoor network deployment</w:t>
      </w:r>
    </w:p>
    <w:p w14:paraId="5113C0EF" w14:textId="3F12342F" w:rsidR="0064569D" w:rsidRDefault="0064569D" w:rsidP="00577757">
      <w:pPr>
        <w:pStyle w:val="BodyText"/>
        <w:rPr>
          <w:lang w:val="en-US"/>
        </w:rPr>
      </w:pPr>
    </w:p>
    <w:p w14:paraId="3868D128" w14:textId="282CBC75" w:rsidR="00537058" w:rsidRDefault="00537058" w:rsidP="00577757">
      <w:pPr>
        <w:pStyle w:val="BodyText"/>
        <w:rPr>
          <w:lang w:val="en-US"/>
        </w:rPr>
      </w:pPr>
    </w:p>
    <w:p w14:paraId="49986ABF" w14:textId="77777777" w:rsidR="00985F47" w:rsidRDefault="00537058" w:rsidP="00985F47">
      <w:pPr>
        <w:pStyle w:val="BodyText"/>
        <w:keepNext/>
        <w:jc w:val="center"/>
      </w:pPr>
      <w:r>
        <w:rPr>
          <w:noProof/>
          <w:lang w:val="en-US"/>
        </w:rPr>
        <w:drawing>
          <wp:inline distT="0" distB="0" distL="0" distR="0" wp14:anchorId="39E57DCE" wp14:editId="1C9F6112">
            <wp:extent cx="4157933" cy="2199735"/>
            <wp:effectExtent l="0" t="0" r="14605" b="1016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8BB4D59" w14:textId="687CFE4F" w:rsidR="00537058" w:rsidRDefault="00985F47" w:rsidP="009F570D">
      <w:pPr>
        <w:pStyle w:val="Caption"/>
        <w:jc w:val="center"/>
        <w:rPr>
          <w:lang w:val="en-US"/>
        </w:rPr>
      </w:pPr>
      <w:r>
        <w:t xml:space="preserve">Figure </w:t>
      </w:r>
      <w:r w:rsidR="009C4596">
        <w:rPr>
          <w:noProof/>
        </w:rPr>
        <w:fldChar w:fldCharType="begin"/>
      </w:r>
      <w:r w:rsidR="009C4596">
        <w:rPr>
          <w:noProof/>
        </w:rPr>
        <w:instrText xml:space="preserve"> SEQ Figure \* ARABIC </w:instrText>
      </w:r>
      <w:r w:rsidR="009C4596">
        <w:rPr>
          <w:noProof/>
        </w:rPr>
        <w:fldChar w:fldCharType="separate"/>
      </w:r>
      <w:r w:rsidR="008640D0">
        <w:rPr>
          <w:noProof/>
        </w:rPr>
        <w:t>3</w:t>
      </w:r>
      <w:r w:rsidR="009C4596">
        <w:rPr>
          <w:noProof/>
        </w:rPr>
        <w:fldChar w:fldCharType="end"/>
      </w:r>
      <w:r>
        <w:rPr>
          <w:lang w:val="en-US"/>
        </w:rPr>
        <w:t xml:space="preserve">: </w:t>
      </w:r>
      <w:r w:rsidRPr="00DF2193">
        <w:rPr>
          <w:lang w:val="en-US"/>
        </w:rPr>
        <w:t>UL performance using different SCS when NR-U coexist with another Wi-Fi network in an indoor deployment. Only the NR-U operator results are shown</w:t>
      </w:r>
    </w:p>
    <w:p w14:paraId="28C8049D" w14:textId="77777777" w:rsidR="008640D0" w:rsidRDefault="005C4545" w:rsidP="008640D0">
      <w:pPr>
        <w:pStyle w:val="BodyText"/>
        <w:keepNext/>
        <w:jc w:val="center"/>
      </w:pPr>
      <w:r>
        <w:rPr>
          <w:noProof/>
          <w:lang w:val="en-US"/>
        </w:rPr>
        <w:lastRenderedPageBreak/>
        <w:drawing>
          <wp:inline distT="0" distB="0" distL="0" distR="0" wp14:anchorId="62BE5B75" wp14:editId="2BA3EE16">
            <wp:extent cx="4157933" cy="2199735"/>
            <wp:effectExtent l="0" t="0" r="14605" b="1016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ACCAA2F" w14:textId="7F91CB84" w:rsidR="007D4A34" w:rsidRDefault="008640D0" w:rsidP="008640D0">
      <w:pPr>
        <w:pStyle w:val="Caption"/>
        <w:jc w:val="center"/>
        <w:rPr>
          <w:lang w:val="en-US"/>
        </w:rPr>
      </w:pPr>
      <w:r>
        <w:t xml:space="preserve">Figure </w:t>
      </w:r>
      <w:r w:rsidR="009C4596">
        <w:rPr>
          <w:noProof/>
        </w:rPr>
        <w:fldChar w:fldCharType="begin"/>
      </w:r>
      <w:r w:rsidR="009C4596">
        <w:rPr>
          <w:noProof/>
        </w:rPr>
        <w:instrText xml:space="preserve"> SEQ Figure \* ARABIC </w:instrText>
      </w:r>
      <w:r w:rsidR="009C4596">
        <w:rPr>
          <w:noProof/>
        </w:rPr>
        <w:fldChar w:fldCharType="separate"/>
      </w:r>
      <w:r>
        <w:rPr>
          <w:noProof/>
        </w:rPr>
        <w:t>4</w:t>
      </w:r>
      <w:r w:rsidR="009C4596">
        <w:rPr>
          <w:noProof/>
        </w:rPr>
        <w:fldChar w:fldCharType="end"/>
      </w:r>
      <w:r>
        <w:rPr>
          <w:lang w:val="en-US"/>
        </w:rPr>
        <w:t>: D</w:t>
      </w:r>
      <w:r w:rsidRPr="00737351">
        <w:rPr>
          <w:lang w:val="en-US"/>
        </w:rPr>
        <w:t>L performance using different SCS when NR-U coexist with another Wi-Fi network in an indoor deployment. Only the NR-U operator results are shown.</w:t>
      </w:r>
    </w:p>
    <w:p w14:paraId="1D9C199F" w14:textId="77777777" w:rsidR="008640D0" w:rsidRPr="008640D0" w:rsidRDefault="008640D0" w:rsidP="008640D0">
      <w:pPr>
        <w:rPr>
          <w:lang w:val="en-US" w:eastAsia="en-GB"/>
        </w:rPr>
      </w:pPr>
    </w:p>
    <w:p w14:paraId="080C224E" w14:textId="2A187651" w:rsidR="00A029A9" w:rsidRDefault="008640D0" w:rsidP="008640D0">
      <w:pPr>
        <w:pStyle w:val="BodyText"/>
        <w:rPr>
          <w:lang w:val="en-US"/>
        </w:rPr>
      </w:pPr>
      <w:r>
        <w:rPr>
          <w:lang w:val="en-US"/>
        </w:rPr>
        <w:t xml:space="preserve">All </w:t>
      </w:r>
      <w:proofErr w:type="spellStart"/>
      <w:r>
        <w:rPr>
          <w:lang w:val="en-US"/>
        </w:rPr>
        <w:t>SCS</w:t>
      </w:r>
      <w:proofErr w:type="spellEnd"/>
      <w:r>
        <w:rPr>
          <w:lang w:val="en-US"/>
        </w:rPr>
        <w:t xml:space="preserve"> performs </w:t>
      </w:r>
      <w:r w:rsidR="00F80103">
        <w:rPr>
          <w:lang w:val="en-US"/>
        </w:rPr>
        <w:t xml:space="preserve">roughly </w:t>
      </w:r>
      <w:r>
        <w:rPr>
          <w:lang w:val="en-US"/>
        </w:rPr>
        <w:t>the same in the DL which is expected since PDCCH periodicity of 1 OS is enabled. In fact</w:t>
      </w:r>
      <w:r w:rsidR="00E921FD">
        <w:rPr>
          <w:lang w:val="en-US"/>
        </w:rPr>
        <w:t>,</w:t>
      </w:r>
      <w:r>
        <w:rPr>
          <w:lang w:val="en-US"/>
        </w:rPr>
        <w:t xml:space="preserve"> the higher </w:t>
      </w:r>
      <w:proofErr w:type="spellStart"/>
      <w:r>
        <w:rPr>
          <w:lang w:val="en-US"/>
        </w:rPr>
        <w:t>SCS</w:t>
      </w:r>
      <w:proofErr w:type="spellEnd"/>
      <w:r>
        <w:rPr>
          <w:lang w:val="en-US"/>
        </w:rPr>
        <w:t xml:space="preserve"> perform slightly worse due to higher overhead and guard bands. </w:t>
      </w:r>
      <w:r w:rsidR="00C37B4D">
        <w:rPr>
          <w:lang w:val="en-US"/>
        </w:rPr>
        <w:t>Both scenarios</w:t>
      </w:r>
      <w:r>
        <w:rPr>
          <w:lang w:val="en-US"/>
        </w:rPr>
        <w:t xml:space="preserve"> (single NR-U operator or coexisting with Wi-Fi)</w:t>
      </w:r>
      <w:r w:rsidR="00C37B4D">
        <w:rPr>
          <w:lang w:val="en-US"/>
        </w:rPr>
        <w:t xml:space="preserve"> show that </w:t>
      </w:r>
      <w:r w:rsidR="00B048E3">
        <w:rPr>
          <w:lang w:val="en-US"/>
        </w:rPr>
        <w:t xml:space="preserve">uplink in case of </w:t>
      </w:r>
      <w:r w:rsidR="00C37B4D">
        <w:rPr>
          <w:lang w:val="en-US"/>
        </w:rPr>
        <w:t>30 and 60</w:t>
      </w:r>
      <w:r w:rsidR="005530DD">
        <w:rPr>
          <w:lang w:val="en-US"/>
        </w:rPr>
        <w:t>k</w:t>
      </w:r>
      <w:r w:rsidR="00C37B4D">
        <w:rPr>
          <w:lang w:val="en-US"/>
        </w:rPr>
        <w:t>Hz perform</w:t>
      </w:r>
      <w:r w:rsidR="00B048E3">
        <w:rPr>
          <w:lang w:val="en-US"/>
        </w:rPr>
        <w:t>s</w:t>
      </w:r>
      <w:r w:rsidR="00C37B4D">
        <w:rPr>
          <w:lang w:val="en-US"/>
        </w:rPr>
        <w:t xml:space="preserve"> better than 15</w:t>
      </w:r>
      <w:r w:rsidR="005530DD">
        <w:rPr>
          <w:lang w:val="en-US"/>
        </w:rPr>
        <w:t>k</w:t>
      </w:r>
      <w:r w:rsidR="00C37B4D">
        <w:rPr>
          <w:lang w:val="en-US"/>
        </w:rPr>
        <w:t xml:space="preserve">Hz subcarrier spacing. </w:t>
      </w:r>
      <w:r w:rsidR="00850D16">
        <w:rPr>
          <w:lang w:val="en-US"/>
        </w:rPr>
        <w:t>However, m</w:t>
      </w:r>
      <w:r w:rsidR="00C37B4D">
        <w:rPr>
          <w:lang w:val="en-US"/>
        </w:rPr>
        <w:t>inimal difference is observed between 30 and 60</w:t>
      </w:r>
      <w:r w:rsidR="005530DD">
        <w:rPr>
          <w:lang w:val="en-US"/>
        </w:rPr>
        <w:t>k</w:t>
      </w:r>
      <w:r w:rsidR="00C37B4D">
        <w:rPr>
          <w:lang w:val="en-US"/>
        </w:rPr>
        <w:t xml:space="preserve">Hz subcarrier spacing due to the trade-off between channel access granularity and spectrum utilization. </w:t>
      </w:r>
      <w:r w:rsidR="00850D16">
        <w:rPr>
          <w:lang w:val="en-US"/>
        </w:rPr>
        <w:t xml:space="preserve">Most of the gain comes from increasing the SCS from 15 kHz to 30 kHz. While </w:t>
      </w:r>
      <w:r w:rsidR="00C37B4D">
        <w:rPr>
          <w:lang w:val="en-US"/>
        </w:rPr>
        <w:t>60</w:t>
      </w:r>
      <w:r w:rsidR="005530DD">
        <w:rPr>
          <w:lang w:val="en-US"/>
        </w:rPr>
        <w:t>k</w:t>
      </w:r>
      <w:r w:rsidR="00C37B4D">
        <w:rPr>
          <w:lang w:val="en-US"/>
        </w:rPr>
        <w:t xml:space="preserve">Hz </w:t>
      </w:r>
      <w:r w:rsidR="00850D16">
        <w:rPr>
          <w:lang w:val="en-US"/>
        </w:rPr>
        <w:t xml:space="preserve">can </w:t>
      </w:r>
      <w:r w:rsidR="00C37B4D">
        <w:rPr>
          <w:lang w:val="en-US"/>
        </w:rPr>
        <w:t xml:space="preserve">provide better access granularity, </w:t>
      </w:r>
      <w:r w:rsidR="00850D16">
        <w:rPr>
          <w:lang w:val="en-US"/>
        </w:rPr>
        <w:t xml:space="preserve">this is counteracted by the fact that </w:t>
      </w:r>
      <w:r w:rsidR="00C37B4D">
        <w:rPr>
          <w:lang w:val="en-US"/>
        </w:rPr>
        <w:t>the spectrum utilization in case of 60</w:t>
      </w:r>
      <w:r w:rsidR="005530DD">
        <w:rPr>
          <w:lang w:val="en-US"/>
        </w:rPr>
        <w:t>k</w:t>
      </w:r>
      <w:r w:rsidR="00C37B4D">
        <w:rPr>
          <w:lang w:val="en-US"/>
        </w:rPr>
        <w:t>Hz is lower than 30</w:t>
      </w:r>
      <w:r w:rsidR="005530DD">
        <w:rPr>
          <w:lang w:val="en-US"/>
        </w:rPr>
        <w:t>k</w:t>
      </w:r>
      <w:r w:rsidR="00C37B4D">
        <w:rPr>
          <w:lang w:val="en-US"/>
        </w:rPr>
        <w:t>Hz due to larger guard bands. In conclusion,</w:t>
      </w:r>
      <w:r w:rsidR="00C5054E">
        <w:rPr>
          <w:lang w:val="en-US"/>
        </w:rPr>
        <w:t xml:space="preserve"> inclusion of 60</w:t>
      </w:r>
      <w:r w:rsidR="005530DD">
        <w:rPr>
          <w:lang w:val="en-US"/>
        </w:rPr>
        <w:t>k</w:t>
      </w:r>
      <w:r w:rsidR="00C5054E">
        <w:rPr>
          <w:lang w:val="en-US"/>
        </w:rPr>
        <w:t>Hz SCS for NR-U operations requires additional design changes yet does not provide significant performance gains.</w:t>
      </w:r>
    </w:p>
    <w:p w14:paraId="7F5B93D8" w14:textId="00D1BB2C" w:rsidR="00DE0939" w:rsidRDefault="008E7BA1" w:rsidP="00FE06E5">
      <w:pPr>
        <w:pStyle w:val="Proposal"/>
      </w:pPr>
      <w:bookmarkStart w:id="6" w:name="_Toc520971645"/>
      <w:bookmarkStart w:id="7" w:name="_Toc521718654"/>
      <w:r>
        <w:t>Only c</w:t>
      </w:r>
      <w:r w:rsidR="00DE0939">
        <w:t xml:space="preserve">onsider inclusion of 60kHz SCS after </w:t>
      </w:r>
      <w:r>
        <w:t xml:space="preserve">discussions on 30kHz SCS are </w:t>
      </w:r>
      <w:r w:rsidR="007216AE">
        <w:t>concluded.</w:t>
      </w:r>
      <w:bookmarkEnd w:id="6"/>
      <w:bookmarkEnd w:id="7"/>
    </w:p>
    <w:p w14:paraId="54AD3214" w14:textId="09DAEB1E" w:rsidR="00DB72AF" w:rsidRDefault="00446710" w:rsidP="00DB72AF">
      <w:pPr>
        <w:pStyle w:val="Heading1"/>
      </w:pPr>
      <w:r>
        <w:t>4</w:t>
      </w:r>
      <w:r>
        <w:tab/>
      </w:r>
      <w:r w:rsidR="00DB72AF">
        <w:t>Wideband operation</w:t>
      </w:r>
    </w:p>
    <w:p w14:paraId="13671B16" w14:textId="17C821A2" w:rsidR="00DB72AF" w:rsidRDefault="00DB72AF" w:rsidP="00F275C6">
      <w:pPr>
        <w:pStyle w:val="BodyText"/>
      </w:pPr>
      <w:proofErr w:type="gramStart"/>
      <w:r w:rsidRPr="00F77360">
        <w:t>Similar to</w:t>
      </w:r>
      <w:proofErr w:type="gramEnd"/>
      <w:r w:rsidRPr="00F77360">
        <w:t xml:space="preserve"> NR, it is expected that NR-U will support transmissions with wide bandwidth, e.g., up to </w:t>
      </w:r>
      <w:r>
        <w:t>several hundreds of MHz bandwidth</w:t>
      </w:r>
      <w:r w:rsidRPr="00F77360">
        <w:t>.</w:t>
      </w:r>
      <w:r>
        <w:t xml:space="preserve"> </w:t>
      </w:r>
      <w:r w:rsidRPr="00F77360">
        <w:t xml:space="preserve">However, there could be different radio technologies with different device capabilities that simultaneously share the same spectrum. It will be unlikely that a device will sense the channel free over the whole </w:t>
      </w:r>
      <w:r>
        <w:t>wide</w:t>
      </w:r>
      <w:r w:rsidRPr="00F77360">
        <w:t xml:space="preserve"> ban</w:t>
      </w:r>
      <w:r w:rsidRPr="00047BD0">
        <w:t>dwidth, especially</w:t>
      </w:r>
      <w:r w:rsidRPr="00F77360">
        <w:t xml:space="preserve"> at high load. Thus, it is beneficial for NR-U to support transmissions with</w:t>
      </w:r>
      <w:r>
        <w:t xml:space="preserve"> dynamic</w:t>
      </w:r>
      <w:r w:rsidRPr="00F77360">
        <w:t xml:space="preserve"> bandwidth, in which the </w:t>
      </w:r>
      <w:r>
        <w:t>device</w:t>
      </w:r>
      <w:r w:rsidRPr="00F77360">
        <w:t xml:space="preserve"> can decide which part(s) of the </w:t>
      </w:r>
      <w:r>
        <w:t xml:space="preserve">supported </w:t>
      </w:r>
      <w:r w:rsidRPr="00F77360">
        <w:t xml:space="preserve">bandwidth to use based on </w:t>
      </w:r>
      <w:r>
        <w:t>its</w:t>
      </w:r>
      <w:r w:rsidRPr="00F77360">
        <w:t xml:space="preserve"> LBT outcome.</w:t>
      </w:r>
    </w:p>
    <w:p w14:paraId="227E8DB0" w14:textId="4653EFAC" w:rsidR="00AD001C" w:rsidRDefault="00DB72AF" w:rsidP="00F275C6">
      <w:pPr>
        <w:pStyle w:val="BodyText"/>
        <w:rPr>
          <w:rFonts w:cs="Arial"/>
        </w:rPr>
      </w:pPr>
      <w:r>
        <w:t>There are two common approaches for the device to use in wideband transmissions: carrier aggregation (CA) and single carrier wideband transmissions. In CA transmissions (</w:t>
      </w:r>
      <w:proofErr w:type="gramStart"/>
      <w:r>
        <w:t>similar to</w:t>
      </w:r>
      <w:proofErr w:type="gramEnd"/>
      <w:r>
        <w:t xml:space="preserve"> LTE-based LAA), the device performs LBT per </w:t>
      </w:r>
      <w:r w:rsidR="000830F9">
        <w:t xml:space="preserve">component carrier (of, </w:t>
      </w:r>
      <w:r w:rsidRPr="00F77360">
        <w:rPr>
          <w:rFonts w:cs="Arial"/>
        </w:rPr>
        <w:t>e.g., 20MHz</w:t>
      </w:r>
      <w:r w:rsidR="000830F9">
        <w:rPr>
          <w:rFonts w:cs="Arial"/>
        </w:rPr>
        <w:t>)</w:t>
      </w:r>
      <w:r>
        <w:rPr>
          <w:rFonts w:cs="Arial"/>
        </w:rPr>
        <w:t xml:space="preserve">, then </w:t>
      </w:r>
      <w:r w:rsidR="000830F9">
        <w:rPr>
          <w:rFonts w:cs="Arial"/>
        </w:rPr>
        <w:t xml:space="preserve">transmit on </w:t>
      </w:r>
      <w:r>
        <w:rPr>
          <w:rFonts w:cs="Arial"/>
        </w:rPr>
        <w:t>each free component carrier (CC)</w:t>
      </w:r>
      <w:r>
        <w:t xml:space="preserve">. In single carrier wideband transmissions, the device </w:t>
      </w:r>
      <w:r w:rsidR="000830F9">
        <w:t xml:space="preserve">performs LBT per LBT bandwidth </w:t>
      </w:r>
      <w:r w:rsidR="006A18CE">
        <w:t>piece (</w:t>
      </w:r>
      <w:r w:rsidR="000830F9">
        <w:t>of 20 MHz</w:t>
      </w:r>
      <w:r w:rsidR="006A18CE">
        <w:t>)</w:t>
      </w:r>
      <w:r w:rsidR="000830F9">
        <w:t xml:space="preserve"> and aggregates resources from each </w:t>
      </w:r>
      <w:r>
        <w:rPr>
          <w:rFonts w:cs="Arial"/>
        </w:rPr>
        <w:t xml:space="preserve">free </w:t>
      </w:r>
      <w:r w:rsidR="000830F9">
        <w:rPr>
          <w:rFonts w:cs="Arial"/>
        </w:rPr>
        <w:t xml:space="preserve">LBT bandwidth </w:t>
      </w:r>
      <w:r w:rsidR="006A18CE">
        <w:t xml:space="preserve">piece </w:t>
      </w:r>
      <w:r w:rsidR="000830F9">
        <w:rPr>
          <w:rFonts w:cs="Arial"/>
        </w:rPr>
        <w:t>in a single physical SCH</w:t>
      </w:r>
      <w:r>
        <w:rPr>
          <w:rFonts w:cs="Arial"/>
        </w:rPr>
        <w:t xml:space="preserve">. Figure </w:t>
      </w:r>
      <w:r w:rsidR="00643DDE">
        <w:rPr>
          <w:rFonts w:cs="Arial"/>
        </w:rPr>
        <w:t>5</w:t>
      </w:r>
      <w:r>
        <w:rPr>
          <w:rFonts w:cs="Arial"/>
        </w:rPr>
        <w:t xml:space="preserve"> shows an example for the wideband operations using</w:t>
      </w:r>
      <w:r>
        <w:t xml:space="preserve"> CA and single </w:t>
      </w:r>
      <w:r w:rsidR="00AD25AF">
        <w:t xml:space="preserve">system </w:t>
      </w:r>
      <w:r>
        <w:t xml:space="preserve">carrier wideband </w:t>
      </w:r>
      <w:r w:rsidR="00AD25AF">
        <w:rPr>
          <w:rFonts w:cs="Arial"/>
        </w:rPr>
        <w:t xml:space="preserve">of </w:t>
      </w:r>
      <w:r>
        <w:rPr>
          <w:rFonts w:cs="Arial"/>
        </w:rPr>
        <w:t xml:space="preserve">80 </w:t>
      </w:r>
      <w:proofErr w:type="spellStart"/>
      <w:r>
        <w:rPr>
          <w:rFonts w:cs="Arial"/>
        </w:rPr>
        <w:t>MHz.</w:t>
      </w:r>
      <w:proofErr w:type="spellEnd"/>
      <w:r>
        <w:rPr>
          <w:rFonts w:cs="Arial"/>
        </w:rPr>
        <w:t xml:space="preserve"> Different UEs may </w:t>
      </w:r>
      <w:r w:rsidR="006A18CE">
        <w:rPr>
          <w:rFonts w:cs="Arial"/>
        </w:rPr>
        <w:t xml:space="preserve">operate on different maximum bandwidth sizes and </w:t>
      </w:r>
      <w:r>
        <w:rPr>
          <w:rFonts w:cs="Arial"/>
        </w:rPr>
        <w:t xml:space="preserve">transmit with different </w:t>
      </w:r>
      <w:r w:rsidR="006A18CE">
        <w:rPr>
          <w:rFonts w:cs="Arial"/>
        </w:rPr>
        <w:t>number of RBs</w:t>
      </w:r>
      <w:r>
        <w:rPr>
          <w:rFonts w:cs="Arial"/>
        </w:rPr>
        <w:t xml:space="preserve"> depend</w:t>
      </w:r>
      <w:r w:rsidR="006A18CE">
        <w:rPr>
          <w:rFonts w:cs="Arial"/>
        </w:rPr>
        <w:t>ing</w:t>
      </w:r>
      <w:r>
        <w:rPr>
          <w:rFonts w:cs="Arial"/>
        </w:rPr>
        <w:t xml:space="preserve"> on their LBT’s outcomes.</w:t>
      </w:r>
      <w:r w:rsidR="00F4579A">
        <w:rPr>
          <w:rFonts w:cs="Arial"/>
        </w:rPr>
        <w:t xml:space="preserve"> </w:t>
      </w:r>
    </w:p>
    <w:p w14:paraId="7586CB18" w14:textId="3D68E890" w:rsidR="00DB72AF" w:rsidRDefault="00DF00BF" w:rsidP="00104DC8">
      <w:pPr>
        <w:pStyle w:val="BodyText"/>
        <w:spacing w:before="240"/>
        <w:jc w:val="center"/>
        <w:rPr>
          <w:rFonts w:cs="Arial"/>
        </w:rPr>
      </w:pPr>
      <w:r>
        <w:rPr>
          <w:rFonts w:cs="Arial"/>
          <w:noProof/>
        </w:rPr>
        <w:lastRenderedPageBreak/>
        <w:drawing>
          <wp:inline distT="0" distB="0" distL="0" distR="0" wp14:anchorId="2617C382" wp14:editId="224A0301">
            <wp:extent cx="5486400" cy="188366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883664"/>
                    </a:xfrm>
                    <a:prstGeom prst="rect">
                      <a:avLst/>
                    </a:prstGeom>
                    <a:noFill/>
                  </pic:spPr>
                </pic:pic>
              </a:graphicData>
            </a:graphic>
          </wp:inline>
        </w:drawing>
      </w:r>
    </w:p>
    <w:p w14:paraId="4F2A4916" w14:textId="7093052E" w:rsidR="00DB72AF" w:rsidRPr="00104DC8" w:rsidRDefault="00FA64E3" w:rsidP="00104DC8">
      <w:pPr>
        <w:pStyle w:val="BodyText"/>
        <w:numPr>
          <w:ilvl w:val="0"/>
          <w:numId w:val="30"/>
        </w:numPr>
        <w:jc w:val="center"/>
        <w:rPr>
          <w:rFonts w:cs="Arial"/>
        </w:rPr>
      </w:pPr>
      <w:r w:rsidRPr="00FA64E3">
        <w:rPr>
          <w:rFonts w:cs="Arial"/>
        </w:rPr>
        <w:t>CA transmissions</w:t>
      </w:r>
      <w:r w:rsidRPr="00FA64E3">
        <w:rPr>
          <w:rFonts w:cs="Arial"/>
        </w:rPr>
        <w:tab/>
      </w:r>
      <w:r w:rsidRPr="00FA64E3">
        <w:rPr>
          <w:rFonts w:cs="Arial"/>
        </w:rPr>
        <w:tab/>
      </w:r>
      <w:r w:rsidRPr="00FA64E3">
        <w:rPr>
          <w:rFonts w:cs="Arial"/>
        </w:rPr>
        <w:tab/>
      </w:r>
      <w:r w:rsidRPr="00FA64E3">
        <w:rPr>
          <w:rFonts w:cs="Arial"/>
        </w:rPr>
        <w:tab/>
        <w:t>(b) single carrier wideband transmissions</w:t>
      </w:r>
      <w:r w:rsidRPr="00FA64E3">
        <w:rPr>
          <w:rFonts w:cs="Arial"/>
        </w:rPr>
        <w:tab/>
      </w:r>
      <w:r w:rsidR="00DB72AF">
        <w:t xml:space="preserve">   </w:t>
      </w:r>
      <w:r w:rsidR="00DB72AF" w:rsidRPr="00104DC8">
        <w:rPr>
          <w:rFonts w:cs="Arial"/>
        </w:rPr>
        <w:t xml:space="preserve">   </w:t>
      </w:r>
    </w:p>
    <w:p w14:paraId="2442A417" w14:textId="589D67A9" w:rsidR="00DB72AF" w:rsidRDefault="00DB72AF" w:rsidP="00F275C6">
      <w:pPr>
        <w:pStyle w:val="TF"/>
      </w:pPr>
      <w:r>
        <w:t xml:space="preserve">Figure </w:t>
      </w:r>
      <w:r w:rsidR="00643DDE">
        <w:rPr>
          <w:lang w:val="en-US"/>
        </w:rPr>
        <w:t>5</w:t>
      </w:r>
      <w:r>
        <w:t xml:space="preserve"> - CA and single carrier wideband transmissions.</w:t>
      </w:r>
    </w:p>
    <w:p w14:paraId="5D27B062" w14:textId="75A2E099" w:rsidR="00980504" w:rsidRDefault="00980504" w:rsidP="00980504">
      <w:pPr>
        <w:pStyle w:val="BodyText"/>
        <w:rPr>
          <w:rFonts w:cs="Arial"/>
        </w:rPr>
      </w:pPr>
      <w:r>
        <w:rPr>
          <w:rFonts w:cs="Arial"/>
        </w:rPr>
        <w:t xml:space="preserve">Note that separate CORESETs and search spaces need to be configured for different LBT bandwidth pieces to ensure the availability of control signalling when at least one LBT bandwidth piece is available. In the example shown in Figure 1(b). UE2 needs to monitor both CORESET2 and CORESET3 </w:t>
      </w:r>
      <w:r w:rsidR="00B94B0D">
        <w:rPr>
          <w:rFonts w:cs="Arial"/>
        </w:rPr>
        <w:t>since the channel may be available only in LBT bandwidth piece 2 or only in LBT bandwidth piece 3.</w:t>
      </w:r>
      <w:r>
        <w:rPr>
          <w:rFonts w:cs="Arial"/>
        </w:rPr>
        <w:t xml:space="preserve"> Similarly, UE3 shall monitor all four CORESETs to get its PDCCH. Furthermore, it </w:t>
      </w:r>
      <w:r w:rsidR="00E117E2">
        <w:rPr>
          <w:rFonts w:cs="Arial"/>
        </w:rPr>
        <w:t>is un</w:t>
      </w:r>
      <w:r>
        <w:rPr>
          <w:rFonts w:cs="Arial"/>
        </w:rPr>
        <w:t xml:space="preserve">desirable to configure a </w:t>
      </w:r>
      <w:r w:rsidR="00267794">
        <w:rPr>
          <w:rFonts w:cs="Arial"/>
        </w:rPr>
        <w:t xml:space="preserve">wide </w:t>
      </w:r>
      <w:r>
        <w:rPr>
          <w:rFonts w:cs="Arial"/>
        </w:rPr>
        <w:t xml:space="preserve">CORESET </w:t>
      </w:r>
      <w:r w:rsidR="00267794">
        <w:rPr>
          <w:rFonts w:cs="Arial"/>
        </w:rPr>
        <w:t>across</w:t>
      </w:r>
      <w:r>
        <w:rPr>
          <w:rFonts w:cs="Arial"/>
        </w:rPr>
        <w:t xml:space="preserve"> LBT bandwidth pieces. Either the PDCCH is interleaved across the LBT bandwidth pieces or all PDCCH candidates locate in the unavailable LBT bandwidth pieces</w:t>
      </w:r>
      <w:r w:rsidR="009E11E1">
        <w:rPr>
          <w:rFonts w:cs="Arial"/>
        </w:rPr>
        <w:t xml:space="preserve"> when part of the channel is busy.</w:t>
      </w:r>
      <w:r>
        <w:rPr>
          <w:rFonts w:cs="Arial"/>
        </w:rPr>
        <w:t xml:space="preserve"> Both results in loss of scheduling opportunities. There is hence no difference between the CA and wide BWP approaches in terms of number of CORESETs and search spaces to monitor by the UE. </w:t>
      </w:r>
    </w:p>
    <w:p w14:paraId="71384822" w14:textId="4FB13E9B" w:rsidR="008A1DAD" w:rsidRPr="00DA087D" w:rsidRDefault="00980504" w:rsidP="00DA087D">
      <w:pPr>
        <w:pStyle w:val="Observation"/>
      </w:pPr>
      <w:bookmarkStart w:id="8" w:name="_Toc521718652"/>
      <w:r w:rsidRPr="00A92B42">
        <w:t>There is no difference between the CA and wide BWP approaches in terms of number of CORESETs and search spaces to monitor by the UE</w:t>
      </w:r>
      <w:r>
        <w:t>.</w:t>
      </w:r>
      <w:bookmarkEnd w:id="8"/>
    </w:p>
    <w:p w14:paraId="183DCB9A" w14:textId="73BF0DA7" w:rsidR="00C66E70" w:rsidRDefault="00C66E70" w:rsidP="00D829E9">
      <w:pPr>
        <w:pStyle w:val="BodyText"/>
      </w:pPr>
      <w:r>
        <w:rPr>
          <w:rFonts w:cs="Arial"/>
        </w:rPr>
        <w:t xml:space="preserve">If the </w:t>
      </w:r>
      <w:proofErr w:type="spellStart"/>
      <w:r>
        <w:rPr>
          <w:rFonts w:cs="Arial"/>
        </w:rPr>
        <w:t>gNB</w:t>
      </w:r>
      <w:proofErr w:type="spellEnd"/>
      <w:r>
        <w:rPr>
          <w:rFonts w:cs="Arial"/>
        </w:rPr>
        <w:t xml:space="preserve"> observes consistent high interference in certain component carriers, it can de</w:t>
      </w:r>
      <w:r w:rsidR="00891D52">
        <w:rPr>
          <w:rFonts w:cs="Arial"/>
        </w:rPr>
        <w:t>-</w:t>
      </w:r>
      <w:r>
        <w:rPr>
          <w:rFonts w:cs="Arial"/>
        </w:rPr>
        <w:t xml:space="preserve">configure or deactivate these carriers from the UEs. Similarly, if the </w:t>
      </w:r>
      <w:proofErr w:type="spellStart"/>
      <w:r>
        <w:rPr>
          <w:rFonts w:cs="Arial"/>
        </w:rPr>
        <w:t>gNB</w:t>
      </w:r>
      <w:proofErr w:type="spellEnd"/>
      <w:r>
        <w:rPr>
          <w:rFonts w:cs="Arial"/>
        </w:rPr>
        <w:t xml:space="preserve"> observes consistent high interference in certain LBT bandwidth piece(s), it can configure the BWP of the associated UEs to avoid these unusable LBT bandwidth piece(s). However, if the low-interference LBT bandwidth pieces are not contiguous, the </w:t>
      </w:r>
      <w:proofErr w:type="spellStart"/>
      <w:r>
        <w:rPr>
          <w:rFonts w:cs="Arial"/>
        </w:rPr>
        <w:t>gNB</w:t>
      </w:r>
      <w:proofErr w:type="spellEnd"/>
      <w:r>
        <w:rPr>
          <w:rFonts w:cs="Arial"/>
        </w:rPr>
        <w:t xml:space="preserve"> will need to configure more than one component carrier (since a NR BWP contains contiguous resource blocks). That is, single carrier operation mode cannot address all operation scenarios well and carrier aggregation operation mode should always be support for </w:t>
      </w:r>
      <w:r>
        <w:t>NR-U.</w:t>
      </w:r>
    </w:p>
    <w:p w14:paraId="6389B2AB" w14:textId="6ABA3E10" w:rsidR="00D918C4" w:rsidRDefault="00DB72AF" w:rsidP="00D829E9">
      <w:pPr>
        <w:pStyle w:val="BodyText"/>
      </w:pPr>
      <w:r>
        <w:t xml:space="preserve">In general, CA transmissions have less standard impact (using LTE-based LAA as baseline) and require less stringent processing requirements since </w:t>
      </w:r>
      <w:r w:rsidR="00817041">
        <w:t xml:space="preserve">parallel </w:t>
      </w:r>
      <w:r>
        <w:t>transport block</w:t>
      </w:r>
      <w:r w:rsidR="00817041">
        <w:t xml:space="preserve"> processing</w:t>
      </w:r>
      <w:r>
        <w:t xml:space="preserve"> can be </w:t>
      </w:r>
      <w:r w:rsidR="00817041">
        <w:t xml:space="preserve">performed </w:t>
      </w:r>
      <w:r>
        <w:t>independently per CC.</w:t>
      </w:r>
    </w:p>
    <w:p w14:paraId="49FF4F2D" w14:textId="685FBDB9" w:rsidR="008A1DAD" w:rsidRDefault="00DB72AF" w:rsidP="00DA087D">
      <w:pPr>
        <w:pStyle w:val="Proposal"/>
      </w:pPr>
      <w:bookmarkStart w:id="9" w:name="_Toc513643344"/>
      <w:bookmarkStart w:id="10" w:name="_Toc521718655"/>
      <w:bookmarkEnd w:id="9"/>
      <w:r w:rsidRPr="005435CF">
        <w:t xml:space="preserve">NR-U should support </w:t>
      </w:r>
      <w:r>
        <w:t>CA transmissions for wideband operations.</w:t>
      </w:r>
      <w:bookmarkEnd w:id="10"/>
    </w:p>
    <w:p w14:paraId="22E02A14" w14:textId="037BBCA7" w:rsidR="00D829E9" w:rsidRDefault="00090844" w:rsidP="000D0A6E">
      <w:pPr>
        <w:pStyle w:val="BodyText"/>
      </w:pPr>
      <w:r>
        <w:t xml:space="preserve">The single carrier wideband transmitting approach has its own advantage </w:t>
      </w:r>
      <w:r w:rsidR="00FA0ED6">
        <w:t xml:space="preserve">with the possibility of </w:t>
      </w:r>
      <w:r>
        <w:t xml:space="preserve">improving the spectral efficiency by exploiting the guard-band(s) between contiguous BWPs. </w:t>
      </w:r>
      <w:r w:rsidR="00B53F46">
        <w:t>However, the transport block sizes (TBS) are determined by the scheduling step and it span</w:t>
      </w:r>
      <w:r w:rsidR="00323B65">
        <w:t>s</w:t>
      </w:r>
      <w:r w:rsidR="00B53F46">
        <w:t xml:space="preserve"> the whole BWP, which happens</w:t>
      </w:r>
      <w:r w:rsidR="000D0A6E">
        <w:t xml:space="preserve"> earlier</w:t>
      </w:r>
      <w:r w:rsidR="00B53F46">
        <w:t xml:space="preserve"> than any listen-before-talk decisions.</w:t>
      </w:r>
      <w:r w:rsidR="00B53F46" w:rsidRPr="00B53F46">
        <w:t xml:space="preserve"> </w:t>
      </w:r>
      <w:r w:rsidR="006A18CE">
        <w:t xml:space="preserve">If </w:t>
      </w:r>
      <w:r w:rsidR="00323B65">
        <w:t xml:space="preserve">there are </w:t>
      </w:r>
      <w:r w:rsidR="001821BD">
        <w:t xml:space="preserve">fewer </w:t>
      </w:r>
      <w:r w:rsidR="006A18CE">
        <w:t xml:space="preserve">free LBT bandwidth </w:t>
      </w:r>
      <w:r w:rsidR="001821BD">
        <w:t>pieces</w:t>
      </w:r>
      <w:r w:rsidR="00323B65">
        <w:t xml:space="preserve"> available</w:t>
      </w:r>
      <w:r w:rsidR="001821BD">
        <w:t xml:space="preserve"> than </w:t>
      </w:r>
      <w:r w:rsidR="00323B65">
        <w:t xml:space="preserve">the </w:t>
      </w:r>
      <w:r w:rsidR="001821BD">
        <w:t xml:space="preserve">scheduler, two </w:t>
      </w:r>
      <w:r w:rsidR="006A18CE">
        <w:t xml:space="preserve">options can be considered: </w:t>
      </w:r>
      <w:r w:rsidR="000D0A6E">
        <w:t>(1) rate matching, different coding rate is used to fit the same scheduled TBS. (2) puncturing the TB part that is mapped to the bandwi</w:t>
      </w:r>
      <w:r w:rsidR="00D829E9">
        <w:t>d</w:t>
      </w:r>
      <w:r w:rsidR="000D0A6E">
        <w:t xml:space="preserve">th part which </w:t>
      </w:r>
      <w:r w:rsidR="00D829E9">
        <w:t xml:space="preserve">fail LBT. However, both approaches </w:t>
      </w:r>
      <w:r w:rsidR="001821BD">
        <w:t xml:space="preserve">are undesirable since both </w:t>
      </w:r>
      <w:r w:rsidR="00D829E9">
        <w:t>result in severe reliability issues specially for high MCS values.</w:t>
      </w:r>
    </w:p>
    <w:p w14:paraId="188ED89A" w14:textId="23ED626B" w:rsidR="00C02555" w:rsidRDefault="00D829E9" w:rsidP="00E921FD">
      <w:pPr>
        <w:pStyle w:val="Proposal"/>
      </w:pPr>
      <w:bookmarkStart w:id="11" w:name="_Toc521718656"/>
      <w:r>
        <w:t xml:space="preserve">Further study </w:t>
      </w:r>
      <w:r w:rsidR="00716800">
        <w:t xml:space="preserve">the impact of sub-band LBT on </w:t>
      </w:r>
      <w:r>
        <w:t>single carrier wideband transmissions for wideband operations.</w:t>
      </w:r>
      <w:bookmarkEnd w:id="11"/>
    </w:p>
    <w:p w14:paraId="2F8D3E25" w14:textId="6999A75E" w:rsidR="00C02555" w:rsidRDefault="00C02555" w:rsidP="004460FB">
      <w:pPr>
        <w:pStyle w:val="Heading1"/>
      </w:pPr>
      <w:r>
        <w:t>UE power Saving</w:t>
      </w:r>
    </w:p>
    <w:p w14:paraId="09077A99" w14:textId="77777777" w:rsidR="00E921FD" w:rsidRDefault="00E921FD" w:rsidP="00E921FD">
      <w:pPr>
        <w:spacing w:after="120"/>
        <w:jc w:val="both"/>
        <w:rPr>
          <w:rFonts w:ascii="Arial" w:hAnsi="Arial" w:cs="Arial"/>
          <w:lang w:eastAsia="zh-CN"/>
        </w:rPr>
      </w:pPr>
      <w:r>
        <w:rPr>
          <w:rFonts w:ascii="Arial" w:hAnsi="Arial" w:cs="Arial"/>
          <w:lang w:eastAsia="zh-CN"/>
        </w:rPr>
        <w:t xml:space="preserve">There are two components affecting the UE’s power consumption in receive mode: Receive RF power consumption (from </w:t>
      </w:r>
      <w:proofErr w:type="spellStart"/>
      <w:r>
        <w:rPr>
          <w:rFonts w:ascii="Arial" w:hAnsi="Arial" w:cs="Arial"/>
          <w:lang w:eastAsia="zh-CN"/>
        </w:rPr>
        <w:t>e.g</w:t>
      </w:r>
      <w:proofErr w:type="spellEnd"/>
      <w:r>
        <w:rPr>
          <w:rFonts w:ascii="Arial" w:hAnsi="Arial" w:cs="Arial"/>
          <w:lang w:eastAsia="zh-CN"/>
        </w:rPr>
        <w:t xml:space="preserve"> Gain Controls, Low Noise Amplifiers, </w:t>
      </w:r>
      <w:proofErr w:type="gramStart"/>
      <w:r>
        <w:rPr>
          <w:rFonts w:ascii="Arial" w:hAnsi="Arial" w:cs="Arial"/>
          <w:lang w:eastAsia="zh-CN"/>
        </w:rPr>
        <w:t>filters</w:t>
      </w:r>
      <w:proofErr w:type="gramEnd"/>
      <w:r>
        <w:rPr>
          <w:rFonts w:ascii="Arial" w:hAnsi="Arial" w:cs="Arial"/>
          <w:lang w:eastAsia="zh-CN"/>
        </w:rPr>
        <w:t xml:space="preserve"> and mixers), and the receive baseband processing power consumption (channel estimation, decoding, etc.). The most effective way to reduce power consumption is to reduce the fraction of time the RF part (and hence the BB part) of the receive is on, rather than trying to optimize the power consumption of BB processing part but leaving the RF part open. </w:t>
      </w:r>
    </w:p>
    <w:p w14:paraId="7EF6F2E8" w14:textId="77777777" w:rsidR="00E921FD" w:rsidRDefault="00E921FD" w:rsidP="00E921FD">
      <w:pPr>
        <w:spacing w:after="120"/>
        <w:jc w:val="both"/>
        <w:rPr>
          <w:rFonts w:ascii="Arial" w:hAnsi="Arial" w:cs="Arial"/>
          <w:lang w:eastAsia="zh-CN"/>
        </w:rPr>
      </w:pPr>
      <w:r>
        <w:rPr>
          <w:rFonts w:ascii="Arial" w:hAnsi="Arial" w:cs="Arial"/>
          <w:lang w:eastAsia="zh-CN"/>
        </w:rPr>
        <w:lastRenderedPageBreak/>
        <w:t xml:space="preserve">Towards reducing the portion of </w:t>
      </w:r>
      <w:proofErr w:type="gramStart"/>
      <w:r>
        <w:rPr>
          <w:rFonts w:ascii="Arial" w:hAnsi="Arial" w:cs="Arial"/>
          <w:lang w:eastAsia="zh-CN"/>
        </w:rPr>
        <w:t>time</w:t>
      </w:r>
      <w:proofErr w:type="gramEnd"/>
      <w:r>
        <w:rPr>
          <w:rFonts w:ascii="Arial" w:hAnsi="Arial" w:cs="Arial"/>
          <w:lang w:eastAsia="zh-CN"/>
        </w:rPr>
        <w:t xml:space="preserve"> a CONNECTED mode UE needs to turn on RF and BB, NR supports extensive and flexible </w:t>
      </w:r>
      <w:proofErr w:type="spellStart"/>
      <w:r>
        <w:rPr>
          <w:rFonts w:ascii="Arial" w:hAnsi="Arial" w:cs="Arial"/>
          <w:lang w:eastAsia="zh-CN"/>
        </w:rPr>
        <w:t>DRX</w:t>
      </w:r>
      <w:proofErr w:type="spellEnd"/>
      <w:r>
        <w:rPr>
          <w:rFonts w:ascii="Arial" w:hAnsi="Arial" w:cs="Arial"/>
          <w:lang w:eastAsia="zh-CN"/>
        </w:rPr>
        <w:t xml:space="preserve"> configuration in the MAC specs. UE only needs to check </w:t>
      </w:r>
      <w:proofErr w:type="spellStart"/>
      <w:r>
        <w:rPr>
          <w:rFonts w:ascii="Arial" w:hAnsi="Arial" w:cs="Arial"/>
          <w:lang w:eastAsia="zh-CN"/>
        </w:rPr>
        <w:t>PDCCH</w:t>
      </w:r>
      <w:proofErr w:type="spellEnd"/>
      <w:r>
        <w:rPr>
          <w:rFonts w:ascii="Arial" w:hAnsi="Arial" w:cs="Arial"/>
          <w:lang w:eastAsia="zh-CN"/>
        </w:rPr>
        <w:t xml:space="preserve"> during active times and save power consumption on RF and BB otherwise. For Rel-16, there is a new SI [5] to consider further mechanisms such as wake-up signals to enable even greater portion of </w:t>
      </w:r>
      <w:proofErr w:type="spellStart"/>
      <w:r>
        <w:rPr>
          <w:rFonts w:ascii="Arial" w:hAnsi="Arial" w:cs="Arial"/>
          <w:lang w:eastAsia="zh-CN"/>
        </w:rPr>
        <w:t>DRX</w:t>
      </w:r>
      <w:proofErr w:type="spellEnd"/>
      <w:r>
        <w:rPr>
          <w:rFonts w:ascii="Arial" w:hAnsi="Arial" w:cs="Arial"/>
          <w:lang w:eastAsia="zh-CN"/>
        </w:rPr>
        <w:t xml:space="preserve"> time for a CONNECTED UE: to ensure quality of service, a UE in </w:t>
      </w:r>
      <w:proofErr w:type="spellStart"/>
      <w:r>
        <w:rPr>
          <w:rFonts w:ascii="Arial" w:hAnsi="Arial" w:cs="Arial"/>
          <w:lang w:eastAsia="zh-CN"/>
        </w:rPr>
        <w:t>DRX</w:t>
      </w:r>
      <w:proofErr w:type="spellEnd"/>
      <w:r>
        <w:rPr>
          <w:rFonts w:ascii="Arial" w:hAnsi="Arial" w:cs="Arial"/>
          <w:lang w:eastAsia="zh-CN"/>
        </w:rPr>
        <w:t xml:space="preserve"> can be quickly pulled back into active time using the wake-up signal. Such mechanism will also benefit NR operations in the unlicensed spectrum. A NR-U system can incorporate such mechanisms when they are standardized. Since this Rel-16 work in parallel to the NR-U SI, such designs targeting </w:t>
      </w:r>
      <w:proofErr w:type="spellStart"/>
      <w:r>
        <w:rPr>
          <w:rFonts w:ascii="Arial" w:hAnsi="Arial" w:cs="Arial"/>
          <w:lang w:eastAsia="zh-CN"/>
        </w:rPr>
        <w:t>UEs</w:t>
      </w:r>
      <w:proofErr w:type="spellEnd"/>
      <w:r>
        <w:rPr>
          <w:rFonts w:ascii="Arial" w:hAnsi="Arial" w:cs="Arial"/>
          <w:lang w:eastAsia="zh-CN"/>
        </w:rPr>
        <w:t xml:space="preserve"> in </w:t>
      </w:r>
      <w:proofErr w:type="spellStart"/>
      <w:r>
        <w:rPr>
          <w:rFonts w:ascii="Arial" w:hAnsi="Arial" w:cs="Arial"/>
          <w:lang w:eastAsia="zh-CN"/>
        </w:rPr>
        <w:t>DRX</w:t>
      </w:r>
      <w:proofErr w:type="spellEnd"/>
      <w:r>
        <w:rPr>
          <w:rFonts w:ascii="Arial" w:hAnsi="Arial" w:cs="Arial"/>
          <w:lang w:eastAsia="zh-CN"/>
        </w:rPr>
        <w:t xml:space="preserve"> are not to be further discussed in the NR-U SI to avoid duplicated work in 3GPP.</w:t>
      </w:r>
    </w:p>
    <w:p w14:paraId="1DCFA2DF" w14:textId="583933FD" w:rsidR="00E921FD" w:rsidRPr="00E921FD" w:rsidRDefault="00E921FD" w:rsidP="00E921FD">
      <w:pPr>
        <w:pStyle w:val="Proposal"/>
      </w:pPr>
      <w:bookmarkStart w:id="12" w:name="_Toc521718657"/>
      <w:r>
        <w:t>UE power saving solutions such as wake-up signals are out of the NR-U SI scope.</w:t>
      </w:r>
      <w:bookmarkEnd w:id="12"/>
      <w:r>
        <w:t xml:space="preserve"> </w:t>
      </w:r>
    </w:p>
    <w:p w14:paraId="41A8127D" w14:textId="77777777" w:rsidR="00E921FD" w:rsidRDefault="00E921FD" w:rsidP="00E921FD">
      <w:pPr>
        <w:spacing w:after="120"/>
        <w:jc w:val="both"/>
        <w:rPr>
          <w:rFonts w:ascii="Arial" w:hAnsi="Arial" w:cs="Arial"/>
          <w:lang w:eastAsia="zh-CN"/>
        </w:rPr>
      </w:pPr>
      <w:r>
        <w:rPr>
          <w:rFonts w:ascii="Arial" w:hAnsi="Arial" w:cs="Arial"/>
          <w:lang w:eastAsia="zh-CN"/>
        </w:rPr>
        <w:t xml:space="preserve">During active time, a UE monitors </w:t>
      </w:r>
      <w:proofErr w:type="spellStart"/>
      <w:r>
        <w:rPr>
          <w:rFonts w:ascii="Arial" w:hAnsi="Arial" w:cs="Arial"/>
          <w:lang w:eastAsia="zh-CN"/>
        </w:rPr>
        <w:t>PDCCH</w:t>
      </w:r>
      <w:proofErr w:type="spellEnd"/>
      <w:r>
        <w:rPr>
          <w:rFonts w:ascii="Arial" w:hAnsi="Arial" w:cs="Arial"/>
          <w:lang w:eastAsia="zh-CN"/>
        </w:rPr>
        <w:t xml:space="preserve"> transmissions from the </w:t>
      </w:r>
      <w:proofErr w:type="spellStart"/>
      <w:r>
        <w:rPr>
          <w:rFonts w:ascii="Arial" w:hAnsi="Arial" w:cs="Arial"/>
          <w:lang w:eastAsia="zh-CN"/>
        </w:rPr>
        <w:t>gNB</w:t>
      </w:r>
      <w:proofErr w:type="spellEnd"/>
      <w:r>
        <w:rPr>
          <w:rFonts w:ascii="Arial" w:hAnsi="Arial" w:cs="Arial"/>
          <w:lang w:eastAsia="zh-CN"/>
        </w:rPr>
        <w:t xml:space="preserve">. From the configured search space sets, the UE has a specific grid of time instances to check potential </w:t>
      </w:r>
      <w:proofErr w:type="spellStart"/>
      <w:r>
        <w:rPr>
          <w:rFonts w:ascii="Arial" w:hAnsi="Arial" w:cs="Arial"/>
          <w:lang w:eastAsia="zh-CN"/>
        </w:rPr>
        <w:t>PDCCH</w:t>
      </w:r>
      <w:proofErr w:type="spellEnd"/>
      <w:r>
        <w:rPr>
          <w:rFonts w:ascii="Arial" w:hAnsi="Arial" w:cs="Arial"/>
          <w:lang w:eastAsia="zh-CN"/>
        </w:rPr>
        <w:t xml:space="preserve"> transmissions. The granularity in time that the UE shall check </w:t>
      </w:r>
      <w:proofErr w:type="spellStart"/>
      <w:r>
        <w:rPr>
          <w:rFonts w:ascii="Arial" w:hAnsi="Arial" w:cs="Arial"/>
          <w:lang w:eastAsia="zh-CN"/>
        </w:rPr>
        <w:t>PDCCH</w:t>
      </w:r>
      <w:proofErr w:type="spellEnd"/>
      <w:r>
        <w:rPr>
          <w:rFonts w:ascii="Arial" w:hAnsi="Arial" w:cs="Arial"/>
          <w:lang w:eastAsia="zh-CN"/>
        </w:rPr>
        <w:t xml:space="preserve"> is hence up to </w:t>
      </w:r>
      <w:proofErr w:type="spellStart"/>
      <w:r>
        <w:rPr>
          <w:rFonts w:ascii="Arial" w:hAnsi="Arial" w:cs="Arial"/>
          <w:lang w:eastAsia="zh-CN"/>
        </w:rPr>
        <w:t>gNB</w:t>
      </w:r>
      <w:proofErr w:type="spellEnd"/>
      <w:r>
        <w:rPr>
          <w:rFonts w:ascii="Arial" w:hAnsi="Arial" w:cs="Arial"/>
          <w:lang w:eastAsia="zh-CN"/>
        </w:rPr>
        <w:t xml:space="preserve"> configuration. Given that only 2, 4 or 7-symbol type B </w:t>
      </w:r>
      <w:proofErr w:type="spellStart"/>
      <w:r>
        <w:rPr>
          <w:rFonts w:ascii="Arial" w:hAnsi="Arial" w:cs="Arial"/>
          <w:lang w:eastAsia="zh-CN"/>
        </w:rPr>
        <w:t>PDSCH</w:t>
      </w:r>
      <w:proofErr w:type="spellEnd"/>
      <w:r>
        <w:rPr>
          <w:rFonts w:ascii="Arial" w:hAnsi="Arial" w:cs="Arial"/>
          <w:lang w:eastAsia="zh-CN"/>
        </w:rPr>
        <w:t xml:space="preserve"> are supported, the UE needs to check </w:t>
      </w:r>
      <w:proofErr w:type="spellStart"/>
      <w:r>
        <w:rPr>
          <w:rFonts w:ascii="Arial" w:hAnsi="Arial" w:cs="Arial"/>
          <w:lang w:eastAsia="zh-CN"/>
        </w:rPr>
        <w:t>PDCCH</w:t>
      </w:r>
      <w:proofErr w:type="spellEnd"/>
      <w:r>
        <w:rPr>
          <w:rFonts w:ascii="Arial" w:hAnsi="Arial" w:cs="Arial"/>
          <w:lang w:eastAsia="zh-CN"/>
        </w:rPr>
        <w:t xml:space="preserve"> no more than 2 OFDM symbols. For 30 kHz </w:t>
      </w:r>
      <w:proofErr w:type="spellStart"/>
      <w:r>
        <w:rPr>
          <w:rFonts w:ascii="Arial" w:hAnsi="Arial" w:cs="Arial"/>
          <w:lang w:eastAsia="zh-CN"/>
        </w:rPr>
        <w:t>SCS</w:t>
      </w:r>
      <w:proofErr w:type="spellEnd"/>
      <w:r>
        <w:rPr>
          <w:rFonts w:ascii="Arial" w:hAnsi="Arial" w:cs="Arial"/>
          <w:lang w:eastAsia="zh-CN"/>
        </w:rPr>
        <w:t xml:space="preserve">, this granularity is every 71 </w:t>
      </w:r>
      <w:proofErr w:type="spellStart"/>
      <w:r>
        <w:rPr>
          <w:rFonts w:ascii="Cambria Math" w:hAnsi="Cambria Math"/>
          <w:lang w:eastAsia="zh-CN"/>
        </w:rPr>
        <w:t>μ</w:t>
      </w:r>
      <w:r>
        <w:rPr>
          <w:rFonts w:ascii="Arial" w:hAnsi="Arial" w:cs="Arial"/>
          <w:lang w:eastAsia="zh-CN"/>
        </w:rPr>
        <w:t>s</w:t>
      </w:r>
      <w:proofErr w:type="spellEnd"/>
      <w:r>
        <w:rPr>
          <w:rFonts w:ascii="Arial" w:hAnsi="Arial" w:cs="Arial"/>
          <w:lang w:eastAsia="zh-CN"/>
        </w:rPr>
        <w:t xml:space="preserve">, 143 </w:t>
      </w:r>
      <w:proofErr w:type="spellStart"/>
      <w:r>
        <w:rPr>
          <w:rFonts w:ascii="Cambria Math" w:hAnsi="Cambria Math"/>
          <w:lang w:eastAsia="zh-CN"/>
        </w:rPr>
        <w:t>μ</w:t>
      </w:r>
      <w:r>
        <w:rPr>
          <w:rFonts w:ascii="Arial" w:hAnsi="Arial" w:cs="Arial"/>
          <w:lang w:eastAsia="zh-CN"/>
        </w:rPr>
        <w:t>s</w:t>
      </w:r>
      <w:proofErr w:type="spellEnd"/>
      <w:r>
        <w:rPr>
          <w:rFonts w:ascii="Arial" w:hAnsi="Arial" w:cs="Arial"/>
          <w:lang w:eastAsia="zh-CN"/>
        </w:rPr>
        <w:t xml:space="preserve"> or 250 </w:t>
      </w:r>
      <w:proofErr w:type="spellStart"/>
      <w:r>
        <w:rPr>
          <w:rFonts w:ascii="Cambria Math" w:hAnsi="Cambria Math"/>
          <w:lang w:eastAsia="zh-CN"/>
        </w:rPr>
        <w:t>μ</w:t>
      </w:r>
      <w:r>
        <w:rPr>
          <w:rFonts w:ascii="Arial" w:hAnsi="Arial" w:cs="Arial"/>
          <w:lang w:eastAsia="zh-CN"/>
        </w:rPr>
        <w:t>s</w:t>
      </w:r>
      <w:proofErr w:type="spellEnd"/>
      <w:r>
        <w:rPr>
          <w:rFonts w:ascii="Arial" w:hAnsi="Arial" w:cs="Arial"/>
          <w:lang w:eastAsia="zh-CN"/>
        </w:rPr>
        <w:t xml:space="preserve">. Once the </w:t>
      </w:r>
      <w:proofErr w:type="spellStart"/>
      <w:r>
        <w:rPr>
          <w:rFonts w:ascii="Arial" w:hAnsi="Arial" w:cs="Arial"/>
          <w:lang w:eastAsia="zh-CN"/>
        </w:rPr>
        <w:t>gNB</w:t>
      </w:r>
      <w:proofErr w:type="spellEnd"/>
      <w:r>
        <w:rPr>
          <w:rFonts w:ascii="Arial" w:hAnsi="Arial" w:cs="Arial"/>
          <w:lang w:eastAsia="zh-CN"/>
        </w:rPr>
        <w:t xml:space="preserve"> obtain a COT, in our companion contribution [4], we propose mechanisms to reduce </w:t>
      </w:r>
      <w:proofErr w:type="spellStart"/>
      <w:r>
        <w:rPr>
          <w:rFonts w:ascii="Arial" w:hAnsi="Arial" w:cs="Arial"/>
          <w:lang w:eastAsia="zh-CN"/>
        </w:rPr>
        <w:t>PDCCH</w:t>
      </w:r>
      <w:proofErr w:type="spellEnd"/>
      <w:r>
        <w:rPr>
          <w:rFonts w:ascii="Arial" w:hAnsi="Arial" w:cs="Arial"/>
          <w:lang w:eastAsia="zh-CN"/>
        </w:rPr>
        <w:t xml:space="preserve"> monitoring inside a </w:t>
      </w:r>
      <w:proofErr w:type="spellStart"/>
      <w:r>
        <w:rPr>
          <w:rFonts w:ascii="Arial" w:hAnsi="Arial" w:cs="Arial"/>
          <w:lang w:eastAsia="zh-CN"/>
        </w:rPr>
        <w:t>gNB</w:t>
      </w:r>
      <w:proofErr w:type="spellEnd"/>
      <w:r>
        <w:rPr>
          <w:rFonts w:ascii="Arial" w:hAnsi="Arial" w:cs="Arial"/>
          <w:lang w:eastAsia="zh-CN"/>
        </w:rPr>
        <w:t xml:space="preserve"> initiated COT which in return reduce the UE power consumption. For instance, the UE can be switched to monitor </w:t>
      </w:r>
      <w:proofErr w:type="spellStart"/>
      <w:r>
        <w:rPr>
          <w:rFonts w:ascii="Arial" w:hAnsi="Arial" w:cs="Arial"/>
          <w:lang w:eastAsia="zh-CN"/>
        </w:rPr>
        <w:t>PDCCH</w:t>
      </w:r>
      <w:proofErr w:type="spellEnd"/>
      <w:r>
        <w:rPr>
          <w:rFonts w:ascii="Arial" w:hAnsi="Arial" w:cs="Arial"/>
          <w:lang w:eastAsia="zh-CN"/>
        </w:rPr>
        <w:t xml:space="preserve"> only on a slot basis: every 500 </w:t>
      </w:r>
      <w:proofErr w:type="spellStart"/>
      <w:r>
        <w:rPr>
          <w:rFonts w:ascii="Cambria Math" w:hAnsi="Cambria Math"/>
          <w:lang w:eastAsia="zh-CN"/>
        </w:rPr>
        <w:t>μ</w:t>
      </w:r>
      <w:r>
        <w:rPr>
          <w:rFonts w:ascii="Arial" w:hAnsi="Arial" w:cs="Arial"/>
          <w:lang w:eastAsia="zh-CN"/>
        </w:rPr>
        <w:t>s</w:t>
      </w:r>
      <w:proofErr w:type="spellEnd"/>
      <w:r>
        <w:rPr>
          <w:rFonts w:ascii="Arial" w:hAnsi="Arial" w:cs="Arial"/>
          <w:lang w:eastAsia="zh-CN"/>
        </w:rPr>
        <w:t xml:space="preserve">. Between, </w:t>
      </w:r>
      <w:proofErr w:type="spellStart"/>
      <w:r>
        <w:rPr>
          <w:rFonts w:ascii="Arial" w:hAnsi="Arial" w:cs="Arial"/>
          <w:lang w:eastAsia="zh-CN"/>
        </w:rPr>
        <w:t>PDCCH</w:t>
      </w:r>
      <w:proofErr w:type="spellEnd"/>
      <w:r>
        <w:rPr>
          <w:rFonts w:ascii="Arial" w:hAnsi="Arial" w:cs="Arial"/>
          <w:lang w:eastAsia="zh-CN"/>
        </w:rPr>
        <w:t xml:space="preserve"> checking instances, there are micro-sleep opportunities for the UE to reduce power consumption. Furthermore, </w:t>
      </w:r>
      <w:proofErr w:type="spellStart"/>
      <w:r>
        <w:rPr>
          <w:rFonts w:ascii="Arial" w:hAnsi="Arial" w:cs="Arial"/>
          <w:lang w:eastAsia="zh-CN"/>
        </w:rPr>
        <w:t>PDCCH</w:t>
      </w:r>
      <w:proofErr w:type="spellEnd"/>
      <w:r>
        <w:rPr>
          <w:rFonts w:ascii="Arial" w:hAnsi="Arial" w:cs="Arial"/>
          <w:lang w:eastAsia="zh-CN"/>
        </w:rPr>
        <w:t xml:space="preserve"> monitoring is based the channel codec the UE is already equipped with.</w:t>
      </w:r>
    </w:p>
    <w:p w14:paraId="67DA1834" w14:textId="77777777" w:rsidR="00E921FD" w:rsidRDefault="00E921FD" w:rsidP="00E921FD">
      <w:pPr>
        <w:spacing w:after="120"/>
        <w:jc w:val="both"/>
        <w:rPr>
          <w:rFonts w:ascii="Arial" w:hAnsi="Arial" w:cs="Arial"/>
          <w:lang w:eastAsia="zh-CN"/>
        </w:rPr>
      </w:pPr>
      <w:r>
        <w:rPr>
          <w:rFonts w:ascii="Arial" w:hAnsi="Arial" w:cs="Arial"/>
          <w:lang w:eastAsia="zh-CN"/>
        </w:rPr>
        <w:t xml:space="preserve">In contrast, if a UE in active time </w:t>
      </w:r>
      <w:proofErr w:type="gramStart"/>
      <w:r>
        <w:rPr>
          <w:rFonts w:ascii="Arial" w:hAnsi="Arial" w:cs="Arial"/>
          <w:lang w:eastAsia="zh-CN"/>
        </w:rPr>
        <w:t>has to</w:t>
      </w:r>
      <w:proofErr w:type="gramEnd"/>
      <w:r>
        <w:rPr>
          <w:rFonts w:ascii="Arial" w:hAnsi="Arial" w:cs="Arial"/>
          <w:lang w:eastAsia="zh-CN"/>
        </w:rPr>
        <w:t xml:space="preserve"> check a signal that can arrive on a much finer time grid than those discussed in the above, the UE will consume power essentially continuously. Such signals may involve activation of additional hardware that is not a normal part of NR operations. Continuous usage and coordination of additional hardware contributes to additional power consumption on top of normal NR operations.</w:t>
      </w:r>
    </w:p>
    <w:p w14:paraId="34DF7814" w14:textId="77777777" w:rsidR="00E921FD" w:rsidRDefault="00E921FD" w:rsidP="00E921FD">
      <w:pPr>
        <w:spacing w:after="120"/>
        <w:jc w:val="both"/>
        <w:rPr>
          <w:rFonts w:ascii="Arial" w:hAnsi="Arial" w:cs="Arial"/>
          <w:lang w:eastAsia="zh-CN"/>
        </w:rPr>
      </w:pPr>
      <w:r>
        <w:rPr>
          <w:rFonts w:ascii="Arial" w:hAnsi="Arial" w:cs="Arial"/>
          <w:lang w:eastAsia="zh-CN"/>
        </w:rPr>
        <w:t xml:space="preserve">In summary, there is no evidence supporting the need to seek power saving solutions outside of NR based signalling. NR based signalling should be the </w:t>
      </w:r>
      <w:proofErr w:type="gramStart"/>
      <w:r>
        <w:rPr>
          <w:rFonts w:ascii="Arial" w:hAnsi="Arial" w:cs="Arial"/>
          <w:lang w:eastAsia="zh-CN"/>
        </w:rPr>
        <w:t>main focus</w:t>
      </w:r>
      <w:proofErr w:type="gramEnd"/>
      <w:r>
        <w:rPr>
          <w:rFonts w:ascii="Arial" w:hAnsi="Arial" w:cs="Arial"/>
          <w:lang w:eastAsia="zh-CN"/>
        </w:rPr>
        <w:t xml:space="preserve"> for reducing UE power consumption during active time.</w:t>
      </w:r>
    </w:p>
    <w:p w14:paraId="7C0E7466" w14:textId="77777777" w:rsidR="00E921FD" w:rsidRDefault="00E921FD" w:rsidP="00E921FD">
      <w:pPr>
        <w:pStyle w:val="Proposal"/>
      </w:pPr>
      <w:bookmarkStart w:id="13" w:name="_Toc521718658"/>
      <w:r>
        <w:t>RAN1 to design UE power saving solutions using NR based signalling.</w:t>
      </w:r>
      <w:bookmarkEnd w:id="13"/>
      <w:r>
        <w:t xml:space="preserve"> </w:t>
      </w:r>
    </w:p>
    <w:p w14:paraId="269573C7" w14:textId="710CEF0B" w:rsidR="00C01F33" w:rsidRPr="00CE0424" w:rsidRDefault="00446710" w:rsidP="00CE0424">
      <w:pPr>
        <w:pStyle w:val="Heading1"/>
      </w:pPr>
      <w:r>
        <w:t>5</w:t>
      </w:r>
      <w:r>
        <w:tab/>
      </w:r>
      <w:r w:rsidR="00C01F33" w:rsidRPr="00CE0424">
        <w:t>Conclusion</w:t>
      </w:r>
    </w:p>
    <w:p w14:paraId="4E87633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2785E15" w14:textId="3999E0D3" w:rsidR="00E921FD"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rPr>
        <w:fldChar w:fldCharType="begin"/>
      </w:r>
      <w:r>
        <w:rPr>
          <w:bCs/>
        </w:rPr>
        <w:instrText xml:space="preserve"> TOC \f O \n \h \z \t "Observation" \c </w:instrText>
      </w:r>
      <w:r>
        <w:rPr>
          <w:bCs/>
        </w:rPr>
        <w:fldChar w:fldCharType="separate"/>
      </w:r>
      <w:hyperlink w:anchor="_Toc521718648" w:history="1">
        <w:r w:rsidR="00E921FD" w:rsidRPr="00374A88">
          <w:rPr>
            <w:rStyle w:val="Hyperlink"/>
            <w:noProof/>
          </w:rPr>
          <w:t>Observation 1</w:t>
        </w:r>
        <w:r w:rsidR="00E921FD">
          <w:rPr>
            <w:rFonts w:asciiTheme="minorHAnsi" w:eastAsiaTheme="minorEastAsia" w:hAnsiTheme="minorHAnsi" w:cstheme="minorBidi"/>
            <w:b w:val="0"/>
            <w:noProof/>
            <w:sz w:val="22"/>
            <w:szCs w:val="22"/>
            <w:lang w:val="en-US" w:eastAsia="en-US"/>
          </w:rPr>
          <w:tab/>
        </w:r>
        <w:r w:rsidR="00E921FD" w:rsidRPr="00374A88">
          <w:rPr>
            <w:rStyle w:val="Hyperlink"/>
            <w:noProof/>
          </w:rPr>
          <w:t>NR Rel15 supports DL and UL transmission starting in any symbol.</w:t>
        </w:r>
      </w:hyperlink>
    </w:p>
    <w:p w14:paraId="0EBE4ED5" w14:textId="05FAE5F6" w:rsidR="00E921FD" w:rsidRDefault="00E921F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718649" w:history="1">
        <w:r w:rsidRPr="00374A88">
          <w:rPr>
            <w:rStyle w:val="Hyperlink"/>
            <w:noProof/>
          </w:rPr>
          <w:t>Observation 2</w:t>
        </w:r>
        <w:r>
          <w:rPr>
            <w:rFonts w:asciiTheme="minorHAnsi" w:eastAsiaTheme="minorEastAsia" w:hAnsiTheme="minorHAnsi" w:cstheme="minorBidi"/>
            <w:b w:val="0"/>
            <w:noProof/>
            <w:sz w:val="22"/>
            <w:szCs w:val="22"/>
            <w:lang w:val="en-US" w:eastAsia="en-US"/>
          </w:rPr>
          <w:tab/>
        </w:r>
        <w:r w:rsidRPr="00374A88">
          <w:rPr>
            <w:rStyle w:val="Hyperlink"/>
            <w:noProof/>
          </w:rPr>
          <w:t>The periodicity of the starting point is controlled by the CORESET and search space RRC configuration. The monitoring periodicity is decoupled from the supported Type B transmission duration.</w:t>
        </w:r>
      </w:hyperlink>
    </w:p>
    <w:p w14:paraId="35E2F6F4" w14:textId="1FABAC7F" w:rsidR="00E921FD" w:rsidRDefault="00E921F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718650" w:history="1">
        <w:r w:rsidRPr="00374A88">
          <w:rPr>
            <w:rStyle w:val="Hyperlink"/>
            <w:noProof/>
          </w:rPr>
          <w:t>Observation 3</w:t>
        </w:r>
        <w:r>
          <w:rPr>
            <w:rFonts w:asciiTheme="minorHAnsi" w:eastAsiaTheme="minorEastAsia" w:hAnsiTheme="minorHAnsi" w:cstheme="minorBidi"/>
            <w:b w:val="0"/>
            <w:noProof/>
            <w:sz w:val="22"/>
            <w:szCs w:val="22"/>
            <w:lang w:val="en-US" w:eastAsia="en-US"/>
          </w:rPr>
          <w:tab/>
        </w:r>
        <w:r w:rsidRPr="00374A88">
          <w:rPr>
            <w:rStyle w:val="Hyperlink"/>
            <w:noProof/>
          </w:rPr>
          <w:t>Supporting 60kHz for all signaling in NR-U requires considerable modifications to the Rel-15 NR specifications.</w:t>
        </w:r>
      </w:hyperlink>
    </w:p>
    <w:p w14:paraId="5F28C39C" w14:textId="1DCB55D6" w:rsidR="00E921FD" w:rsidRDefault="00E921F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718651" w:history="1">
        <w:r w:rsidRPr="00374A88">
          <w:rPr>
            <w:rStyle w:val="Hyperlink"/>
            <w:noProof/>
          </w:rPr>
          <w:t>Observation 4</w:t>
        </w:r>
        <w:r>
          <w:rPr>
            <w:rFonts w:asciiTheme="minorHAnsi" w:eastAsiaTheme="minorEastAsia" w:hAnsiTheme="minorHAnsi" w:cstheme="minorBidi"/>
            <w:b w:val="0"/>
            <w:noProof/>
            <w:sz w:val="22"/>
            <w:szCs w:val="22"/>
            <w:lang w:val="en-US" w:eastAsia="en-US"/>
          </w:rPr>
          <w:tab/>
        </w:r>
        <w:r w:rsidRPr="00374A88">
          <w:rPr>
            <w:rStyle w:val="Hyperlink"/>
            <w:noProof/>
          </w:rPr>
          <w:t>If 60 kHz SCS was adopted for NR-U it brings additional complexity to specification work since ECP would need to be considered, e.g., for outdoor deployments.</w:t>
        </w:r>
      </w:hyperlink>
    </w:p>
    <w:p w14:paraId="39E510C3" w14:textId="0DFD5882" w:rsidR="00E921FD" w:rsidRDefault="00E921F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718652" w:history="1">
        <w:r w:rsidRPr="00374A88">
          <w:rPr>
            <w:rStyle w:val="Hyperlink"/>
            <w:noProof/>
          </w:rPr>
          <w:t>Observation 5</w:t>
        </w:r>
        <w:r>
          <w:rPr>
            <w:rFonts w:asciiTheme="minorHAnsi" w:eastAsiaTheme="minorEastAsia" w:hAnsiTheme="minorHAnsi" w:cstheme="minorBidi"/>
            <w:b w:val="0"/>
            <w:noProof/>
            <w:sz w:val="22"/>
            <w:szCs w:val="22"/>
            <w:lang w:val="en-US" w:eastAsia="en-US"/>
          </w:rPr>
          <w:tab/>
        </w:r>
        <w:r w:rsidRPr="00374A88">
          <w:rPr>
            <w:rStyle w:val="Hyperlink"/>
            <w:noProof/>
          </w:rPr>
          <w:t>There is no difference between the CA and wide BWP approaches in terms of number of CORESETs and search spaces to monitor by the UE.</w:t>
        </w:r>
      </w:hyperlink>
    </w:p>
    <w:p w14:paraId="6449A13A" w14:textId="1AD82E63"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14" w:name="_GoBack"/>
    <w:bookmarkEnd w:id="14"/>
    <w:p w14:paraId="12FA72C5" w14:textId="693FD7F6" w:rsidR="00E921FD"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521718653" w:history="1">
        <w:r w:rsidR="00E921FD" w:rsidRPr="00CE1D2B">
          <w:rPr>
            <w:rStyle w:val="Hyperlink"/>
            <w:noProof/>
          </w:rPr>
          <w:t>Proposal 1</w:t>
        </w:r>
        <w:r w:rsidR="00E921FD">
          <w:rPr>
            <w:rFonts w:asciiTheme="minorHAnsi" w:eastAsiaTheme="minorEastAsia" w:hAnsiTheme="minorHAnsi" w:cstheme="minorBidi"/>
            <w:b w:val="0"/>
            <w:noProof/>
            <w:sz w:val="22"/>
            <w:szCs w:val="22"/>
            <w:lang w:val="en-US" w:eastAsia="en-US"/>
          </w:rPr>
          <w:tab/>
        </w:r>
        <w:r w:rsidR="00E921FD" w:rsidRPr="00CE1D2B">
          <w:rPr>
            <w:rStyle w:val="Hyperlink"/>
            <w:noProof/>
          </w:rPr>
          <w:t>No additional DL or UL starting positions are needed for NR-U</w:t>
        </w:r>
      </w:hyperlink>
    </w:p>
    <w:p w14:paraId="2D119D0D" w14:textId="0E7EC685" w:rsidR="00E921FD" w:rsidRDefault="00E921F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718654" w:history="1">
        <w:r w:rsidRPr="00CE1D2B">
          <w:rPr>
            <w:rStyle w:val="Hyperlink"/>
            <w:noProof/>
          </w:rPr>
          <w:t>Proposal 2</w:t>
        </w:r>
        <w:r>
          <w:rPr>
            <w:rFonts w:asciiTheme="minorHAnsi" w:eastAsiaTheme="minorEastAsia" w:hAnsiTheme="minorHAnsi" w:cstheme="minorBidi"/>
            <w:b w:val="0"/>
            <w:noProof/>
            <w:sz w:val="22"/>
            <w:szCs w:val="22"/>
            <w:lang w:val="en-US" w:eastAsia="en-US"/>
          </w:rPr>
          <w:tab/>
        </w:r>
        <w:r w:rsidRPr="00CE1D2B">
          <w:rPr>
            <w:rStyle w:val="Hyperlink"/>
            <w:noProof/>
          </w:rPr>
          <w:t>Only consider inclusion of 60kHz SCS after discussions on 30kHz SCS are concluded.</w:t>
        </w:r>
      </w:hyperlink>
    </w:p>
    <w:p w14:paraId="17C2B904" w14:textId="021ECADC" w:rsidR="00E921FD" w:rsidRDefault="00E921F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718655" w:history="1">
        <w:r w:rsidRPr="00CE1D2B">
          <w:rPr>
            <w:rStyle w:val="Hyperlink"/>
            <w:noProof/>
          </w:rPr>
          <w:t>Proposal 3</w:t>
        </w:r>
        <w:r>
          <w:rPr>
            <w:rFonts w:asciiTheme="minorHAnsi" w:eastAsiaTheme="minorEastAsia" w:hAnsiTheme="minorHAnsi" w:cstheme="minorBidi"/>
            <w:b w:val="0"/>
            <w:noProof/>
            <w:sz w:val="22"/>
            <w:szCs w:val="22"/>
            <w:lang w:val="en-US" w:eastAsia="en-US"/>
          </w:rPr>
          <w:tab/>
        </w:r>
        <w:r w:rsidRPr="00CE1D2B">
          <w:rPr>
            <w:rStyle w:val="Hyperlink"/>
            <w:noProof/>
          </w:rPr>
          <w:t>NR-U should support CA transmissions for wideband operations.</w:t>
        </w:r>
      </w:hyperlink>
    </w:p>
    <w:p w14:paraId="24409842" w14:textId="5F831B49" w:rsidR="00E921FD" w:rsidRDefault="00E921F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718656" w:history="1">
        <w:r w:rsidRPr="00CE1D2B">
          <w:rPr>
            <w:rStyle w:val="Hyperlink"/>
            <w:noProof/>
          </w:rPr>
          <w:t>Proposal 4</w:t>
        </w:r>
        <w:r>
          <w:rPr>
            <w:rFonts w:asciiTheme="minorHAnsi" w:eastAsiaTheme="minorEastAsia" w:hAnsiTheme="minorHAnsi" w:cstheme="minorBidi"/>
            <w:b w:val="0"/>
            <w:noProof/>
            <w:sz w:val="22"/>
            <w:szCs w:val="22"/>
            <w:lang w:val="en-US" w:eastAsia="en-US"/>
          </w:rPr>
          <w:tab/>
        </w:r>
        <w:r w:rsidRPr="00CE1D2B">
          <w:rPr>
            <w:rStyle w:val="Hyperlink"/>
            <w:noProof/>
          </w:rPr>
          <w:t>Further study the impact of sub-band LBT on single carrier wideband transmissions for wideband operations.</w:t>
        </w:r>
      </w:hyperlink>
    </w:p>
    <w:p w14:paraId="5D1DF298" w14:textId="6A3DDD36" w:rsidR="00E921FD" w:rsidRDefault="00E921F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718657" w:history="1">
        <w:r w:rsidRPr="00CE1D2B">
          <w:rPr>
            <w:rStyle w:val="Hyperlink"/>
            <w:noProof/>
          </w:rPr>
          <w:t>Proposal 5</w:t>
        </w:r>
        <w:r>
          <w:rPr>
            <w:rFonts w:asciiTheme="minorHAnsi" w:eastAsiaTheme="minorEastAsia" w:hAnsiTheme="minorHAnsi" w:cstheme="minorBidi"/>
            <w:b w:val="0"/>
            <w:noProof/>
            <w:sz w:val="22"/>
            <w:szCs w:val="22"/>
            <w:lang w:val="en-US" w:eastAsia="en-US"/>
          </w:rPr>
          <w:tab/>
        </w:r>
        <w:r w:rsidRPr="00CE1D2B">
          <w:rPr>
            <w:rStyle w:val="Hyperlink"/>
            <w:noProof/>
          </w:rPr>
          <w:t>UE power saving solutions such as wake-up signals are out of the NR-U SI scope.</w:t>
        </w:r>
      </w:hyperlink>
    </w:p>
    <w:p w14:paraId="60F08A28" w14:textId="08FBD801" w:rsidR="00E921FD" w:rsidRDefault="00E921F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718658" w:history="1">
        <w:r w:rsidRPr="00CE1D2B">
          <w:rPr>
            <w:rStyle w:val="Hyperlink"/>
            <w:noProof/>
          </w:rPr>
          <w:t>Proposal 6</w:t>
        </w:r>
        <w:r>
          <w:rPr>
            <w:rFonts w:asciiTheme="minorHAnsi" w:eastAsiaTheme="minorEastAsia" w:hAnsiTheme="minorHAnsi" w:cstheme="minorBidi"/>
            <w:b w:val="0"/>
            <w:noProof/>
            <w:sz w:val="22"/>
            <w:szCs w:val="22"/>
            <w:lang w:val="en-US" w:eastAsia="en-US"/>
          </w:rPr>
          <w:tab/>
        </w:r>
        <w:r w:rsidRPr="00CE1D2B">
          <w:rPr>
            <w:rStyle w:val="Hyperlink"/>
            <w:noProof/>
          </w:rPr>
          <w:t>RAN1 to design UE power saving solutions using NR based signalling.</w:t>
        </w:r>
      </w:hyperlink>
    </w:p>
    <w:p w14:paraId="29E5F4E6" w14:textId="7B4B4DF4" w:rsidR="00C01F33" w:rsidRPr="001F0FA7" w:rsidRDefault="006E1C82" w:rsidP="001F0FA7">
      <w:pPr>
        <w:pStyle w:val="BodyText"/>
        <w:rPr>
          <w:b/>
          <w:bCs/>
        </w:rPr>
      </w:pPr>
      <w:r>
        <w:rPr>
          <w:b/>
          <w:bCs/>
          <w:lang w:val="en-US"/>
        </w:rPr>
        <w:lastRenderedPageBreak/>
        <w:fldChar w:fldCharType="end"/>
      </w:r>
    </w:p>
    <w:p w14:paraId="75F0F757" w14:textId="77777777" w:rsidR="00F507D1" w:rsidRPr="00CE0424" w:rsidRDefault="00F507D1" w:rsidP="00CE0424">
      <w:pPr>
        <w:pStyle w:val="Heading1"/>
      </w:pPr>
      <w:bookmarkStart w:id="15" w:name="_In-sequence_SDU_delivery"/>
      <w:bookmarkEnd w:id="15"/>
      <w:r w:rsidRPr="00CE0424">
        <w:t>References</w:t>
      </w:r>
    </w:p>
    <w:p w14:paraId="36588D5E" w14:textId="157E0AC0" w:rsidR="0075182F" w:rsidRDefault="00E745CA" w:rsidP="0075182F">
      <w:pPr>
        <w:pStyle w:val="Reference"/>
        <w:rPr>
          <w:lang w:eastAsia="ja-JP"/>
        </w:rPr>
      </w:pPr>
      <w:r>
        <w:rPr>
          <w:lang w:eastAsia="ja-JP"/>
        </w:rPr>
        <w:t xml:space="preserve">Chairman’s notes, RAN1#92bis, </w:t>
      </w:r>
      <w:proofErr w:type="spellStart"/>
      <w:r>
        <w:rPr>
          <w:lang w:eastAsia="ja-JP"/>
        </w:rPr>
        <w:t>Sanya</w:t>
      </w:r>
      <w:proofErr w:type="spellEnd"/>
      <w:r>
        <w:rPr>
          <w:lang w:eastAsia="ja-JP"/>
        </w:rPr>
        <w:t>, China</w:t>
      </w:r>
    </w:p>
    <w:p w14:paraId="1F6F353A" w14:textId="1D1E7BDE" w:rsidR="00023C28" w:rsidRDefault="0079375B" w:rsidP="0079375B">
      <w:pPr>
        <w:pStyle w:val="Reference"/>
      </w:pPr>
      <w:r w:rsidRPr="0079375B">
        <w:rPr>
          <w:lang w:eastAsia="ja-JP"/>
        </w:rPr>
        <w:t>R1-1809210</w:t>
      </w:r>
      <w:r>
        <w:rPr>
          <w:lang w:eastAsia="ja-JP"/>
        </w:rPr>
        <w:t xml:space="preserve">, </w:t>
      </w:r>
      <w:r w:rsidR="00023C28" w:rsidRPr="00023C28">
        <w:t xml:space="preserve">Indoor coexistence simulation results for NR-U and </w:t>
      </w:r>
      <w:proofErr w:type="spellStart"/>
      <w:r w:rsidR="00023C28" w:rsidRPr="00023C28">
        <w:t>WiFi</w:t>
      </w:r>
      <w:proofErr w:type="spellEnd"/>
      <w:r w:rsidR="00023C28">
        <w:t>, Ericsson</w:t>
      </w:r>
    </w:p>
    <w:p w14:paraId="0D030CFC" w14:textId="582BE3E2" w:rsidR="00AD45A2" w:rsidRDefault="00AD45A2" w:rsidP="0021716B">
      <w:pPr>
        <w:pStyle w:val="Reference"/>
        <w:rPr>
          <w:lang w:eastAsia="ja-JP"/>
        </w:rPr>
      </w:pPr>
      <w:r>
        <w:rPr>
          <w:lang w:eastAsia="ja-JP"/>
        </w:rPr>
        <w:t>Chairman’s notes, RAN1#93, Busan, Korea</w:t>
      </w:r>
    </w:p>
    <w:p w14:paraId="26D23011" w14:textId="43BF39C1" w:rsidR="0079375B" w:rsidRDefault="0079375B" w:rsidP="0079375B">
      <w:pPr>
        <w:pStyle w:val="Reference"/>
      </w:pPr>
      <w:r w:rsidRPr="0079375B">
        <w:rPr>
          <w:lang w:eastAsia="ja-JP"/>
        </w:rPr>
        <w:t>R1-1809202</w:t>
      </w:r>
      <w:r>
        <w:rPr>
          <w:lang w:eastAsia="ja-JP"/>
        </w:rPr>
        <w:t xml:space="preserve">, </w:t>
      </w:r>
      <w:r w:rsidRPr="0079375B">
        <w:t>On DL signals and channels</w:t>
      </w:r>
    </w:p>
    <w:p w14:paraId="74B058AD" w14:textId="7BB9B9C6" w:rsidR="0075182F" w:rsidRPr="00CE0424" w:rsidRDefault="0075182F" w:rsidP="001F0FA7">
      <w:pPr>
        <w:pStyle w:val="Reference"/>
        <w:rPr>
          <w:lang w:eastAsia="ja-JP"/>
        </w:rPr>
      </w:pPr>
      <w:r w:rsidRPr="004729F8">
        <w:rPr>
          <w:lang w:eastAsia="ja-JP"/>
        </w:rPr>
        <w:t>RP-181463 New SID: Study on UE Power Saving in NR</w:t>
      </w:r>
      <w:r w:rsidR="00AD45A2">
        <w:rPr>
          <w:lang w:eastAsia="ja-JP"/>
        </w:rPr>
        <w:t xml:space="preserve">, </w:t>
      </w:r>
      <w:r w:rsidR="004729F8" w:rsidRPr="004729F8">
        <w:rPr>
          <w:lang w:eastAsia="ja-JP"/>
        </w:rPr>
        <w:t>CATT,</w:t>
      </w:r>
      <w:r w:rsidR="00AD45A2">
        <w:rPr>
          <w:lang w:eastAsia="ja-JP"/>
        </w:rPr>
        <w:t xml:space="preserve"> </w:t>
      </w:r>
      <w:r w:rsidR="004729F8" w:rsidRPr="004729F8">
        <w:rPr>
          <w:lang w:eastAsia="ja-JP"/>
        </w:rPr>
        <w:t>CMCC, vivo, CATR, Qualcomm, MediaTek</w:t>
      </w:r>
    </w:p>
    <w:sectPr w:rsidR="0075182F"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70E8E" w14:textId="77777777" w:rsidR="00C404DE" w:rsidRDefault="00C404DE">
      <w:r>
        <w:separator/>
      </w:r>
    </w:p>
  </w:endnote>
  <w:endnote w:type="continuationSeparator" w:id="0">
    <w:p w14:paraId="2F4BBFED" w14:textId="77777777" w:rsidR="00C404DE" w:rsidRDefault="00C40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6C17BDF2" w:rsidR="00033FEE" w:rsidRDefault="00033F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B500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500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398AB" w14:textId="77777777" w:rsidR="00C404DE" w:rsidRDefault="00C404DE">
      <w:r>
        <w:separator/>
      </w:r>
    </w:p>
  </w:footnote>
  <w:footnote w:type="continuationSeparator" w:id="0">
    <w:p w14:paraId="441CD3C4" w14:textId="77777777" w:rsidR="00C404DE" w:rsidRDefault="00C40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033FEE" w:rsidRDefault="00033F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1A464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F887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5F221A"/>
    <w:multiLevelType w:val="hybridMultilevel"/>
    <w:tmpl w:val="1F84793A"/>
    <w:lvl w:ilvl="0" w:tplc="47502D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7" w15:restartNumberingAfterBreak="0">
    <w:nsid w:val="18AA6920"/>
    <w:multiLevelType w:val="hybridMultilevel"/>
    <w:tmpl w:val="7182E3FE"/>
    <w:lvl w:ilvl="0" w:tplc="A296FB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773524B"/>
    <w:multiLevelType w:val="hybridMultilevel"/>
    <w:tmpl w:val="B5A8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A282B"/>
    <w:multiLevelType w:val="hybridMultilevel"/>
    <w:tmpl w:val="F61AFEC4"/>
    <w:lvl w:ilvl="0" w:tplc="A0A8B3D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744F31"/>
    <w:multiLevelType w:val="hybridMultilevel"/>
    <w:tmpl w:val="BE044120"/>
    <w:lvl w:ilvl="0" w:tplc="47502D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4"/>
  </w:num>
  <w:num w:numId="4">
    <w:abstractNumId w:val="15"/>
  </w:num>
  <w:num w:numId="5">
    <w:abstractNumId w:val="11"/>
  </w:num>
  <w:num w:numId="6">
    <w:abstractNumId w:val="17"/>
  </w:num>
  <w:num w:numId="7">
    <w:abstractNumId w:val="26"/>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6"/>
  </w:num>
  <w:num w:numId="16">
    <w:abstractNumId w:val="27"/>
  </w:num>
  <w:num w:numId="17">
    <w:abstractNumId w:val="8"/>
  </w:num>
  <w:num w:numId="18">
    <w:abstractNumId w:val="9"/>
  </w:num>
  <w:num w:numId="19">
    <w:abstractNumId w:val="5"/>
  </w:num>
  <w:num w:numId="20">
    <w:abstractNumId w:val="29"/>
  </w:num>
  <w:num w:numId="21">
    <w:abstractNumId w:val="13"/>
  </w:num>
  <w:num w:numId="22">
    <w:abstractNumId w:val="28"/>
  </w:num>
  <w:num w:numId="23">
    <w:abstractNumId w:val="30"/>
  </w:num>
  <w:num w:numId="24">
    <w:abstractNumId w:val="19"/>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25"/>
  </w:num>
  <w:num w:numId="28">
    <w:abstractNumId w:val="6"/>
  </w:num>
  <w:num w:numId="29">
    <w:abstractNumId w:val="18"/>
  </w:num>
  <w:num w:numId="30">
    <w:abstractNumId w:val="7"/>
  </w:num>
  <w:num w:numId="31">
    <w:abstractNumId w:val="20"/>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2A37"/>
    <w:rsid w:val="00003D73"/>
    <w:rsid w:val="0000564C"/>
    <w:rsid w:val="00006446"/>
    <w:rsid w:val="00006896"/>
    <w:rsid w:val="00007CDC"/>
    <w:rsid w:val="00011B28"/>
    <w:rsid w:val="00015D15"/>
    <w:rsid w:val="00023C28"/>
    <w:rsid w:val="0002564D"/>
    <w:rsid w:val="00025ECA"/>
    <w:rsid w:val="000325B8"/>
    <w:rsid w:val="00033FEE"/>
    <w:rsid w:val="00034C15"/>
    <w:rsid w:val="00036BA1"/>
    <w:rsid w:val="000422E2"/>
    <w:rsid w:val="00042F22"/>
    <w:rsid w:val="000444EF"/>
    <w:rsid w:val="0004455C"/>
    <w:rsid w:val="00052A07"/>
    <w:rsid w:val="000534E3"/>
    <w:rsid w:val="0005606A"/>
    <w:rsid w:val="00057117"/>
    <w:rsid w:val="000616E7"/>
    <w:rsid w:val="00063A58"/>
    <w:rsid w:val="00063CFC"/>
    <w:rsid w:val="0006487E"/>
    <w:rsid w:val="00065E1A"/>
    <w:rsid w:val="00077E5F"/>
    <w:rsid w:val="0008036A"/>
    <w:rsid w:val="00081AE6"/>
    <w:rsid w:val="000830F9"/>
    <w:rsid w:val="000855EB"/>
    <w:rsid w:val="00085B52"/>
    <w:rsid w:val="000866F2"/>
    <w:rsid w:val="0009009F"/>
    <w:rsid w:val="00090844"/>
    <w:rsid w:val="00091557"/>
    <w:rsid w:val="000924C1"/>
    <w:rsid w:val="000924F0"/>
    <w:rsid w:val="00093474"/>
    <w:rsid w:val="0009510F"/>
    <w:rsid w:val="000A1264"/>
    <w:rsid w:val="000A1B7B"/>
    <w:rsid w:val="000A514D"/>
    <w:rsid w:val="000A56F2"/>
    <w:rsid w:val="000A6E76"/>
    <w:rsid w:val="000B2719"/>
    <w:rsid w:val="000B3A8F"/>
    <w:rsid w:val="000B4AB9"/>
    <w:rsid w:val="000B58C3"/>
    <w:rsid w:val="000B61E9"/>
    <w:rsid w:val="000C165A"/>
    <w:rsid w:val="000C2E19"/>
    <w:rsid w:val="000D0A6E"/>
    <w:rsid w:val="000D0D07"/>
    <w:rsid w:val="000D4797"/>
    <w:rsid w:val="000E0527"/>
    <w:rsid w:val="000E1E92"/>
    <w:rsid w:val="000F06D6"/>
    <w:rsid w:val="000F0EB1"/>
    <w:rsid w:val="000F1106"/>
    <w:rsid w:val="000F2FA5"/>
    <w:rsid w:val="000F3BE9"/>
    <w:rsid w:val="000F3F6C"/>
    <w:rsid w:val="000F6DF3"/>
    <w:rsid w:val="001005FF"/>
    <w:rsid w:val="00104BB1"/>
    <w:rsid w:val="00104DC8"/>
    <w:rsid w:val="001062FB"/>
    <w:rsid w:val="001063E6"/>
    <w:rsid w:val="00113CF4"/>
    <w:rsid w:val="001153EA"/>
    <w:rsid w:val="00115643"/>
    <w:rsid w:val="00116765"/>
    <w:rsid w:val="001219F5"/>
    <w:rsid w:val="00121A20"/>
    <w:rsid w:val="0012377F"/>
    <w:rsid w:val="00124314"/>
    <w:rsid w:val="00126B4A"/>
    <w:rsid w:val="00131B51"/>
    <w:rsid w:val="00132FD0"/>
    <w:rsid w:val="001344C0"/>
    <w:rsid w:val="001346FA"/>
    <w:rsid w:val="00135252"/>
    <w:rsid w:val="00137AB5"/>
    <w:rsid w:val="00137F0B"/>
    <w:rsid w:val="00151E23"/>
    <w:rsid w:val="001526E0"/>
    <w:rsid w:val="001551B5"/>
    <w:rsid w:val="00163401"/>
    <w:rsid w:val="001659C1"/>
    <w:rsid w:val="00170FF5"/>
    <w:rsid w:val="00173A8E"/>
    <w:rsid w:val="0017502C"/>
    <w:rsid w:val="0018143F"/>
    <w:rsid w:val="00181FF8"/>
    <w:rsid w:val="001821BD"/>
    <w:rsid w:val="00190AC1"/>
    <w:rsid w:val="0019341A"/>
    <w:rsid w:val="00195C4B"/>
    <w:rsid w:val="001960A1"/>
    <w:rsid w:val="0019625E"/>
    <w:rsid w:val="00197DF9"/>
    <w:rsid w:val="001A11F9"/>
    <w:rsid w:val="001A1987"/>
    <w:rsid w:val="001A2564"/>
    <w:rsid w:val="001A6173"/>
    <w:rsid w:val="001A6CBA"/>
    <w:rsid w:val="001B0387"/>
    <w:rsid w:val="001B0D97"/>
    <w:rsid w:val="001B5A5D"/>
    <w:rsid w:val="001C1CE5"/>
    <w:rsid w:val="001C3D2A"/>
    <w:rsid w:val="001D51BA"/>
    <w:rsid w:val="001D53E7"/>
    <w:rsid w:val="001D6342"/>
    <w:rsid w:val="001D6D53"/>
    <w:rsid w:val="001E4200"/>
    <w:rsid w:val="001E58E2"/>
    <w:rsid w:val="001E7AED"/>
    <w:rsid w:val="001F0FA7"/>
    <w:rsid w:val="001F3916"/>
    <w:rsid w:val="001F54C5"/>
    <w:rsid w:val="001F662C"/>
    <w:rsid w:val="001F7074"/>
    <w:rsid w:val="00200490"/>
    <w:rsid w:val="00201F3A"/>
    <w:rsid w:val="00203F96"/>
    <w:rsid w:val="002069B2"/>
    <w:rsid w:val="00207FA3"/>
    <w:rsid w:val="00214023"/>
    <w:rsid w:val="00214DA8"/>
    <w:rsid w:val="00215423"/>
    <w:rsid w:val="002158FA"/>
    <w:rsid w:val="0021716B"/>
    <w:rsid w:val="00220600"/>
    <w:rsid w:val="00221C73"/>
    <w:rsid w:val="002224DB"/>
    <w:rsid w:val="00223D99"/>
    <w:rsid w:val="00223FCB"/>
    <w:rsid w:val="002252C3"/>
    <w:rsid w:val="00225C54"/>
    <w:rsid w:val="00230765"/>
    <w:rsid w:val="00230D18"/>
    <w:rsid w:val="002319E4"/>
    <w:rsid w:val="00232FAF"/>
    <w:rsid w:val="00235632"/>
    <w:rsid w:val="00235872"/>
    <w:rsid w:val="00241559"/>
    <w:rsid w:val="002435B3"/>
    <w:rsid w:val="002458EB"/>
    <w:rsid w:val="002500C8"/>
    <w:rsid w:val="00257543"/>
    <w:rsid w:val="002617E7"/>
    <w:rsid w:val="00262B6C"/>
    <w:rsid w:val="00263A7D"/>
    <w:rsid w:val="00264228"/>
    <w:rsid w:val="00264334"/>
    <w:rsid w:val="0026473E"/>
    <w:rsid w:val="00266214"/>
    <w:rsid w:val="00267794"/>
    <w:rsid w:val="00267C83"/>
    <w:rsid w:val="00267E63"/>
    <w:rsid w:val="0027144F"/>
    <w:rsid w:val="00271813"/>
    <w:rsid w:val="00271F3A"/>
    <w:rsid w:val="00272093"/>
    <w:rsid w:val="00273278"/>
    <w:rsid w:val="002737F4"/>
    <w:rsid w:val="002805F5"/>
    <w:rsid w:val="00280751"/>
    <w:rsid w:val="0028280A"/>
    <w:rsid w:val="00286ACD"/>
    <w:rsid w:val="00287838"/>
    <w:rsid w:val="00287FE4"/>
    <w:rsid w:val="002907B5"/>
    <w:rsid w:val="00291B3A"/>
    <w:rsid w:val="00292EB7"/>
    <w:rsid w:val="00296227"/>
    <w:rsid w:val="00296F44"/>
    <w:rsid w:val="0029777D"/>
    <w:rsid w:val="002A055E"/>
    <w:rsid w:val="002A1D4E"/>
    <w:rsid w:val="002A2869"/>
    <w:rsid w:val="002B24D6"/>
    <w:rsid w:val="002B46C3"/>
    <w:rsid w:val="002C41E6"/>
    <w:rsid w:val="002D071A"/>
    <w:rsid w:val="002D34B2"/>
    <w:rsid w:val="002D48B0"/>
    <w:rsid w:val="002D5B37"/>
    <w:rsid w:val="002D7637"/>
    <w:rsid w:val="002E17F2"/>
    <w:rsid w:val="002E7CAE"/>
    <w:rsid w:val="002F2771"/>
    <w:rsid w:val="002F37A9"/>
    <w:rsid w:val="002F65F4"/>
    <w:rsid w:val="00301CE6"/>
    <w:rsid w:val="0030256B"/>
    <w:rsid w:val="0030501F"/>
    <w:rsid w:val="00307BA1"/>
    <w:rsid w:val="00311702"/>
    <w:rsid w:val="00311E82"/>
    <w:rsid w:val="00313FD6"/>
    <w:rsid w:val="003143BD"/>
    <w:rsid w:val="00314C73"/>
    <w:rsid w:val="00315363"/>
    <w:rsid w:val="003203ED"/>
    <w:rsid w:val="00322C9F"/>
    <w:rsid w:val="00323B65"/>
    <w:rsid w:val="00324D23"/>
    <w:rsid w:val="00331751"/>
    <w:rsid w:val="00334579"/>
    <w:rsid w:val="00335858"/>
    <w:rsid w:val="00336BDA"/>
    <w:rsid w:val="003379F4"/>
    <w:rsid w:val="00342BD7"/>
    <w:rsid w:val="00346DB5"/>
    <w:rsid w:val="003477B1"/>
    <w:rsid w:val="00357380"/>
    <w:rsid w:val="003602D9"/>
    <w:rsid w:val="003604CE"/>
    <w:rsid w:val="00367B68"/>
    <w:rsid w:val="00370E47"/>
    <w:rsid w:val="00372996"/>
    <w:rsid w:val="003742AC"/>
    <w:rsid w:val="00377CE1"/>
    <w:rsid w:val="003815B5"/>
    <w:rsid w:val="00385BF0"/>
    <w:rsid w:val="003939FF"/>
    <w:rsid w:val="003A2223"/>
    <w:rsid w:val="003A2A0F"/>
    <w:rsid w:val="003A45A1"/>
    <w:rsid w:val="003A5B0A"/>
    <w:rsid w:val="003A5FBE"/>
    <w:rsid w:val="003A6BAC"/>
    <w:rsid w:val="003A6E90"/>
    <w:rsid w:val="003A70A4"/>
    <w:rsid w:val="003A7EF3"/>
    <w:rsid w:val="003B159C"/>
    <w:rsid w:val="003B369F"/>
    <w:rsid w:val="003B36A3"/>
    <w:rsid w:val="003B37D3"/>
    <w:rsid w:val="003B4DD8"/>
    <w:rsid w:val="003B64BB"/>
    <w:rsid w:val="003B721B"/>
    <w:rsid w:val="003B7FE5"/>
    <w:rsid w:val="003C11C8"/>
    <w:rsid w:val="003C2702"/>
    <w:rsid w:val="003C4F93"/>
    <w:rsid w:val="003C7806"/>
    <w:rsid w:val="003D109F"/>
    <w:rsid w:val="003D2478"/>
    <w:rsid w:val="003D2D90"/>
    <w:rsid w:val="003D3C45"/>
    <w:rsid w:val="003D5B1F"/>
    <w:rsid w:val="003E15FA"/>
    <w:rsid w:val="003E55E4"/>
    <w:rsid w:val="003E74E3"/>
    <w:rsid w:val="003F05C7"/>
    <w:rsid w:val="003F2CD4"/>
    <w:rsid w:val="003F6BBE"/>
    <w:rsid w:val="004000E8"/>
    <w:rsid w:val="004003FF"/>
    <w:rsid w:val="00402E2B"/>
    <w:rsid w:val="0040512B"/>
    <w:rsid w:val="00405CA5"/>
    <w:rsid w:val="00407CD3"/>
    <w:rsid w:val="00410134"/>
    <w:rsid w:val="00410B72"/>
    <w:rsid w:val="00410F18"/>
    <w:rsid w:val="00411B2A"/>
    <w:rsid w:val="0041263E"/>
    <w:rsid w:val="00413AAC"/>
    <w:rsid w:val="00413E92"/>
    <w:rsid w:val="00417A70"/>
    <w:rsid w:val="00421105"/>
    <w:rsid w:val="00421245"/>
    <w:rsid w:val="00422AA4"/>
    <w:rsid w:val="004242F4"/>
    <w:rsid w:val="00427248"/>
    <w:rsid w:val="00437447"/>
    <w:rsid w:val="00441019"/>
    <w:rsid w:val="00441A92"/>
    <w:rsid w:val="004431DC"/>
    <w:rsid w:val="00444F56"/>
    <w:rsid w:val="004460FB"/>
    <w:rsid w:val="00446488"/>
    <w:rsid w:val="00446710"/>
    <w:rsid w:val="004517AA"/>
    <w:rsid w:val="00452CAC"/>
    <w:rsid w:val="00457565"/>
    <w:rsid w:val="00457B71"/>
    <w:rsid w:val="00465C4A"/>
    <w:rsid w:val="004669E2"/>
    <w:rsid w:val="00466DA3"/>
    <w:rsid w:val="00470C31"/>
    <w:rsid w:val="00471DE0"/>
    <w:rsid w:val="004729F8"/>
    <w:rsid w:val="004734D0"/>
    <w:rsid w:val="0047556B"/>
    <w:rsid w:val="00477768"/>
    <w:rsid w:val="00486E94"/>
    <w:rsid w:val="00492BC5"/>
    <w:rsid w:val="004964F1"/>
    <w:rsid w:val="004A16BC"/>
    <w:rsid w:val="004A2B94"/>
    <w:rsid w:val="004A55E5"/>
    <w:rsid w:val="004B6F6A"/>
    <w:rsid w:val="004B7C0C"/>
    <w:rsid w:val="004C3898"/>
    <w:rsid w:val="004D36B1"/>
    <w:rsid w:val="004D7EBD"/>
    <w:rsid w:val="004E2680"/>
    <w:rsid w:val="004E28F9"/>
    <w:rsid w:val="004E3838"/>
    <w:rsid w:val="004E462E"/>
    <w:rsid w:val="004E56DC"/>
    <w:rsid w:val="004E76F4"/>
    <w:rsid w:val="004F0B4E"/>
    <w:rsid w:val="004F0B6C"/>
    <w:rsid w:val="004F140F"/>
    <w:rsid w:val="004F2078"/>
    <w:rsid w:val="004F4DA3"/>
    <w:rsid w:val="00506557"/>
    <w:rsid w:val="0050677A"/>
    <w:rsid w:val="005108D8"/>
    <w:rsid w:val="005116F9"/>
    <w:rsid w:val="005153A7"/>
    <w:rsid w:val="00521341"/>
    <w:rsid w:val="005219CF"/>
    <w:rsid w:val="00534B59"/>
    <w:rsid w:val="00536759"/>
    <w:rsid w:val="00537058"/>
    <w:rsid w:val="00537C62"/>
    <w:rsid w:val="00546970"/>
    <w:rsid w:val="0054717B"/>
    <w:rsid w:val="0055087F"/>
    <w:rsid w:val="005530DD"/>
    <w:rsid w:val="00554E19"/>
    <w:rsid w:val="0056121F"/>
    <w:rsid w:val="00572505"/>
    <w:rsid w:val="00577757"/>
    <w:rsid w:val="00582809"/>
    <w:rsid w:val="005867DE"/>
    <w:rsid w:val="0058798C"/>
    <w:rsid w:val="005900FA"/>
    <w:rsid w:val="005935A4"/>
    <w:rsid w:val="005948C2"/>
    <w:rsid w:val="00595DCA"/>
    <w:rsid w:val="0059729E"/>
    <w:rsid w:val="0059779B"/>
    <w:rsid w:val="005A209A"/>
    <w:rsid w:val="005A662D"/>
    <w:rsid w:val="005B1409"/>
    <w:rsid w:val="005B1CAE"/>
    <w:rsid w:val="005B35D7"/>
    <w:rsid w:val="005B392A"/>
    <w:rsid w:val="005B3AA3"/>
    <w:rsid w:val="005B5465"/>
    <w:rsid w:val="005B6058"/>
    <w:rsid w:val="005B6F83"/>
    <w:rsid w:val="005C0AE6"/>
    <w:rsid w:val="005C4545"/>
    <w:rsid w:val="005C74FB"/>
    <w:rsid w:val="005D1602"/>
    <w:rsid w:val="005E076B"/>
    <w:rsid w:val="005E385F"/>
    <w:rsid w:val="005E59F7"/>
    <w:rsid w:val="005E5B81"/>
    <w:rsid w:val="005F2550"/>
    <w:rsid w:val="005F2CB1"/>
    <w:rsid w:val="005F3025"/>
    <w:rsid w:val="005F618C"/>
    <w:rsid w:val="005F70BD"/>
    <w:rsid w:val="005F746C"/>
    <w:rsid w:val="0060283C"/>
    <w:rsid w:val="00604F14"/>
    <w:rsid w:val="00605146"/>
    <w:rsid w:val="00611B83"/>
    <w:rsid w:val="00613257"/>
    <w:rsid w:val="00616AD6"/>
    <w:rsid w:val="00620A71"/>
    <w:rsid w:val="00620D80"/>
    <w:rsid w:val="006234A6"/>
    <w:rsid w:val="00630001"/>
    <w:rsid w:val="006311B3"/>
    <w:rsid w:val="0063244A"/>
    <w:rsid w:val="0063284C"/>
    <w:rsid w:val="00635DF2"/>
    <w:rsid w:val="00636398"/>
    <w:rsid w:val="006368D3"/>
    <w:rsid w:val="006377EC"/>
    <w:rsid w:val="0064151F"/>
    <w:rsid w:val="00641533"/>
    <w:rsid w:val="006416FE"/>
    <w:rsid w:val="0064208D"/>
    <w:rsid w:val="00643475"/>
    <w:rsid w:val="0064396A"/>
    <w:rsid w:val="00643DDE"/>
    <w:rsid w:val="00645671"/>
    <w:rsid w:val="0064569D"/>
    <w:rsid w:val="0064622C"/>
    <w:rsid w:val="0064624E"/>
    <w:rsid w:val="00650AB9"/>
    <w:rsid w:val="00655733"/>
    <w:rsid w:val="00655ACD"/>
    <w:rsid w:val="006569D0"/>
    <w:rsid w:val="00656A92"/>
    <w:rsid w:val="00656DDE"/>
    <w:rsid w:val="0066011D"/>
    <w:rsid w:val="006607C0"/>
    <w:rsid w:val="006613A6"/>
    <w:rsid w:val="006627A2"/>
    <w:rsid w:val="006634E6"/>
    <w:rsid w:val="00664E50"/>
    <w:rsid w:val="006655EE"/>
    <w:rsid w:val="00667041"/>
    <w:rsid w:val="00667EE7"/>
    <w:rsid w:val="00670922"/>
    <w:rsid w:val="00670BE1"/>
    <w:rsid w:val="00671EDD"/>
    <w:rsid w:val="0067218F"/>
    <w:rsid w:val="006741F2"/>
    <w:rsid w:val="00674CC3"/>
    <w:rsid w:val="00675C72"/>
    <w:rsid w:val="006771F9"/>
    <w:rsid w:val="006776D7"/>
    <w:rsid w:val="00681003"/>
    <w:rsid w:val="006817C9"/>
    <w:rsid w:val="00683ECE"/>
    <w:rsid w:val="006846A7"/>
    <w:rsid w:val="00695FC2"/>
    <w:rsid w:val="00696949"/>
    <w:rsid w:val="00696EF7"/>
    <w:rsid w:val="00697052"/>
    <w:rsid w:val="006A18CE"/>
    <w:rsid w:val="006A203B"/>
    <w:rsid w:val="006A46FB"/>
    <w:rsid w:val="006A5E28"/>
    <w:rsid w:val="006A697B"/>
    <w:rsid w:val="006A6D00"/>
    <w:rsid w:val="006A7AFF"/>
    <w:rsid w:val="006B1816"/>
    <w:rsid w:val="006B2099"/>
    <w:rsid w:val="006B5002"/>
    <w:rsid w:val="006B50CF"/>
    <w:rsid w:val="006B5901"/>
    <w:rsid w:val="006C03B8"/>
    <w:rsid w:val="006C1DE4"/>
    <w:rsid w:val="006C4F1B"/>
    <w:rsid w:val="006C5EC9"/>
    <w:rsid w:val="006C6059"/>
    <w:rsid w:val="006C7522"/>
    <w:rsid w:val="006D647D"/>
    <w:rsid w:val="006D6F08"/>
    <w:rsid w:val="006E062C"/>
    <w:rsid w:val="006E1C82"/>
    <w:rsid w:val="006E28B7"/>
    <w:rsid w:val="006E2A9B"/>
    <w:rsid w:val="006E3310"/>
    <w:rsid w:val="006E4E39"/>
    <w:rsid w:val="006E565E"/>
    <w:rsid w:val="006E673D"/>
    <w:rsid w:val="006E7D3B"/>
    <w:rsid w:val="006F1B70"/>
    <w:rsid w:val="006F1C0E"/>
    <w:rsid w:val="006F341D"/>
    <w:rsid w:val="006F3CDE"/>
    <w:rsid w:val="006F58D4"/>
    <w:rsid w:val="006F6582"/>
    <w:rsid w:val="006F74D5"/>
    <w:rsid w:val="0070346E"/>
    <w:rsid w:val="00704EDB"/>
    <w:rsid w:val="00706101"/>
    <w:rsid w:val="00707072"/>
    <w:rsid w:val="00707D61"/>
    <w:rsid w:val="00712287"/>
    <w:rsid w:val="00712772"/>
    <w:rsid w:val="007142F5"/>
    <w:rsid w:val="007148D3"/>
    <w:rsid w:val="00715B9A"/>
    <w:rsid w:val="00716800"/>
    <w:rsid w:val="007216AE"/>
    <w:rsid w:val="007257D0"/>
    <w:rsid w:val="00726EA6"/>
    <w:rsid w:val="00727208"/>
    <w:rsid w:val="00727680"/>
    <w:rsid w:val="007348B1"/>
    <w:rsid w:val="007362A6"/>
    <w:rsid w:val="00736D7D"/>
    <w:rsid w:val="00740E58"/>
    <w:rsid w:val="007445A0"/>
    <w:rsid w:val="0074524B"/>
    <w:rsid w:val="00747D8B"/>
    <w:rsid w:val="00751228"/>
    <w:rsid w:val="0075182F"/>
    <w:rsid w:val="007571E1"/>
    <w:rsid w:val="007576E0"/>
    <w:rsid w:val="007604B2"/>
    <w:rsid w:val="00765281"/>
    <w:rsid w:val="00765ADB"/>
    <w:rsid w:val="00766BAD"/>
    <w:rsid w:val="007729A2"/>
    <w:rsid w:val="007755F2"/>
    <w:rsid w:val="00776971"/>
    <w:rsid w:val="00780A80"/>
    <w:rsid w:val="0078177E"/>
    <w:rsid w:val="0078304C"/>
    <w:rsid w:val="00783673"/>
    <w:rsid w:val="00784F07"/>
    <w:rsid w:val="00785490"/>
    <w:rsid w:val="007925EA"/>
    <w:rsid w:val="0079375B"/>
    <w:rsid w:val="00793CD8"/>
    <w:rsid w:val="00793F37"/>
    <w:rsid w:val="00795C92"/>
    <w:rsid w:val="00796231"/>
    <w:rsid w:val="007A1CB3"/>
    <w:rsid w:val="007A306F"/>
    <w:rsid w:val="007A43A6"/>
    <w:rsid w:val="007A441F"/>
    <w:rsid w:val="007A483A"/>
    <w:rsid w:val="007A58A6"/>
    <w:rsid w:val="007B3D2D"/>
    <w:rsid w:val="007B50AE"/>
    <w:rsid w:val="007B51DF"/>
    <w:rsid w:val="007C05DD"/>
    <w:rsid w:val="007C37C1"/>
    <w:rsid w:val="007C3D18"/>
    <w:rsid w:val="007C5AAD"/>
    <w:rsid w:val="007C60BF"/>
    <w:rsid w:val="007C6A07"/>
    <w:rsid w:val="007C75A1"/>
    <w:rsid w:val="007C77A5"/>
    <w:rsid w:val="007D04E5"/>
    <w:rsid w:val="007D4358"/>
    <w:rsid w:val="007D4A34"/>
    <w:rsid w:val="007D5901"/>
    <w:rsid w:val="007D7526"/>
    <w:rsid w:val="007E4610"/>
    <w:rsid w:val="007E4715"/>
    <w:rsid w:val="007E505B"/>
    <w:rsid w:val="007E7091"/>
    <w:rsid w:val="007E73E6"/>
    <w:rsid w:val="007F0CD7"/>
    <w:rsid w:val="007F6B58"/>
    <w:rsid w:val="007F6FFA"/>
    <w:rsid w:val="007F7AD6"/>
    <w:rsid w:val="0080323E"/>
    <w:rsid w:val="00803FAE"/>
    <w:rsid w:val="0080605F"/>
    <w:rsid w:val="00807786"/>
    <w:rsid w:val="00811FCB"/>
    <w:rsid w:val="008158D6"/>
    <w:rsid w:val="00815A9D"/>
    <w:rsid w:val="00817041"/>
    <w:rsid w:val="00817196"/>
    <w:rsid w:val="008172AE"/>
    <w:rsid w:val="008235DB"/>
    <w:rsid w:val="00824AB4"/>
    <w:rsid w:val="00825C42"/>
    <w:rsid w:val="00825D25"/>
    <w:rsid w:val="00827D6F"/>
    <w:rsid w:val="008376AC"/>
    <w:rsid w:val="008444E8"/>
    <w:rsid w:val="00844E80"/>
    <w:rsid w:val="00846FE7"/>
    <w:rsid w:val="00850D16"/>
    <w:rsid w:val="00856911"/>
    <w:rsid w:val="00862290"/>
    <w:rsid w:val="008640D0"/>
    <w:rsid w:val="008677FD"/>
    <w:rsid w:val="008706D4"/>
    <w:rsid w:val="00870F8A"/>
    <w:rsid w:val="008719A4"/>
    <w:rsid w:val="00871D23"/>
    <w:rsid w:val="008738A4"/>
    <w:rsid w:val="00874312"/>
    <w:rsid w:val="0087437C"/>
    <w:rsid w:val="00874FF9"/>
    <w:rsid w:val="00875CD7"/>
    <w:rsid w:val="00876B4D"/>
    <w:rsid w:val="00877F18"/>
    <w:rsid w:val="00882EF2"/>
    <w:rsid w:val="00887EDE"/>
    <w:rsid w:val="00891D52"/>
    <w:rsid w:val="008941E3"/>
    <w:rsid w:val="00894A88"/>
    <w:rsid w:val="00895386"/>
    <w:rsid w:val="008A1DAD"/>
    <w:rsid w:val="008A21FF"/>
    <w:rsid w:val="008A2CE2"/>
    <w:rsid w:val="008A30AC"/>
    <w:rsid w:val="008A44B8"/>
    <w:rsid w:val="008A51A8"/>
    <w:rsid w:val="008A54C7"/>
    <w:rsid w:val="008A77D8"/>
    <w:rsid w:val="008B0483"/>
    <w:rsid w:val="008B120C"/>
    <w:rsid w:val="008B51A0"/>
    <w:rsid w:val="008B592A"/>
    <w:rsid w:val="008B7B5C"/>
    <w:rsid w:val="008C000F"/>
    <w:rsid w:val="008C0C99"/>
    <w:rsid w:val="008C1800"/>
    <w:rsid w:val="008C2017"/>
    <w:rsid w:val="008C4958"/>
    <w:rsid w:val="008C4BAA"/>
    <w:rsid w:val="008C6AE8"/>
    <w:rsid w:val="008C7573"/>
    <w:rsid w:val="008D00A5"/>
    <w:rsid w:val="008D34F1"/>
    <w:rsid w:val="008D39D8"/>
    <w:rsid w:val="008D6D1A"/>
    <w:rsid w:val="008E065E"/>
    <w:rsid w:val="008E0927"/>
    <w:rsid w:val="008E1909"/>
    <w:rsid w:val="008E28FA"/>
    <w:rsid w:val="008E7BA1"/>
    <w:rsid w:val="008F1C4E"/>
    <w:rsid w:val="008F1EAB"/>
    <w:rsid w:val="008F2233"/>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088"/>
    <w:rsid w:val="009317FA"/>
    <w:rsid w:val="00931BD9"/>
    <w:rsid w:val="009341DA"/>
    <w:rsid w:val="009368F3"/>
    <w:rsid w:val="00941636"/>
    <w:rsid w:val="00943742"/>
    <w:rsid w:val="00944B32"/>
    <w:rsid w:val="00945C05"/>
    <w:rsid w:val="00946945"/>
    <w:rsid w:val="00947713"/>
    <w:rsid w:val="00950C88"/>
    <w:rsid w:val="00950DE7"/>
    <w:rsid w:val="00952274"/>
    <w:rsid w:val="00953920"/>
    <w:rsid w:val="00953D47"/>
    <w:rsid w:val="0095681E"/>
    <w:rsid w:val="009572D4"/>
    <w:rsid w:val="00961921"/>
    <w:rsid w:val="0096430A"/>
    <w:rsid w:val="0096554B"/>
    <w:rsid w:val="0096584A"/>
    <w:rsid w:val="00970CD7"/>
    <w:rsid w:val="00971F08"/>
    <w:rsid w:val="0097603D"/>
    <w:rsid w:val="00976949"/>
    <w:rsid w:val="00980477"/>
    <w:rsid w:val="00980504"/>
    <w:rsid w:val="00985253"/>
    <w:rsid w:val="009852A3"/>
    <w:rsid w:val="009853B3"/>
    <w:rsid w:val="00985F47"/>
    <w:rsid w:val="00990630"/>
    <w:rsid w:val="00991761"/>
    <w:rsid w:val="009918D4"/>
    <w:rsid w:val="00994DCA"/>
    <w:rsid w:val="009960EC"/>
    <w:rsid w:val="009970DD"/>
    <w:rsid w:val="00997EFB"/>
    <w:rsid w:val="009A0FBA"/>
    <w:rsid w:val="009A1601"/>
    <w:rsid w:val="009A3BB6"/>
    <w:rsid w:val="009A3E1A"/>
    <w:rsid w:val="009A462D"/>
    <w:rsid w:val="009A5806"/>
    <w:rsid w:val="009A5CBA"/>
    <w:rsid w:val="009B0D0E"/>
    <w:rsid w:val="009B1F30"/>
    <w:rsid w:val="009B3AC2"/>
    <w:rsid w:val="009B4DF4"/>
    <w:rsid w:val="009B564E"/>
    <w:rsid w:val="009B7E87"/>
    <w:rsid w:val="009C0169"/>
    <w:rsid w:val="009C403E"/>
    <w:rsid w:val="009C4596"/>
    <w:rsid w:val="009C45FD"/>
    <w:rsid w:val="009D1941"/>
    <w:rsid w:val="009D4FF0"/>
    <w:rsid w:val="009D6FDB"/>
    <w:rsid w:val="009D703C"/>
    <w:rsid w:val="009D718F"/>
    <w:rsid w:val="009E068F"/>
    <w:rsid w:val="009E11E1"/>
    <w:rsid w:val="009E14E0"/>
    <w:rsid w:val="009E35DB"/>
    <w:rsid w:val="009E47A3"/>
    <w:rsid w:val="009E47DF"/>
    <w:rsid w:val="009F08F3"/>
    <w:rsid w:val="009F344F"/>
    <w:rsid w:val="009F3EB0"/>
    <w:rsid w:val="009F570D"/>
    <w:rsid w:val="00A029A9"/>
    <w:rsid w:val="00A031D8"/>
    <w:rsid w:val="00A048A8"/>
    <w:rsid w:val="00A04F49"/>
    <w:rsid w:val="00A138EC"/>
    <w:rsid w:val="00A13E54"/>
    <w:rsid w:val="00A1509C"/>
    <w:rsid w:val="00A15C2B"/>
    <w:rsid w:val="00A17F63"/>
    <w:rsid w:val="00A2193B"/>
    <w:rsid w:val="00A2351A"/>
    <w:rsid w:val="00A264A9"/>
    <w:rsid w:val="00A26DCF"/>
    <w:rsid w:val="00A27785"/>
    <w:rsid w:val="00A30187"/>
    <w:rsid w:val="00A3448A"/>
    <w:rsid w:val="00A36297"/>
    <w:rsid w:val="00A41E2B"/>
    <w:rsid w:val="00A45B74"/>
    <w:rsid w:val="00A52127"/>
    <w:rsid w:val="00A52E1D"/>
    <w:rsid w:val="00A55DB1"/>
    <w:rsid w:val="00A61499"/>
    <w:rsid w:val="00A6228C"/>
    <w:rsid w:val="00A62A77"/>
    <w:rsid w:val="00A63483"/>
    <w:rsid w:val="00A64B5A"/>
    <w:rsid w:val="00A657D7"/>
    <w:rsid w:val="00A660AC"/>
    <w:rsid w:val="00A67E6C"/>
    <w:rsid w:val="00A71B99"/>
    <w:rsid w:val="00A739D0"/>
    <w:rsid w:val="00A761D4"/>
    <w:rsid w:val="00A77EC4"/>
    <w:rsid w:val="00A85960"/>
    <w:rsid w:val="00A92879"/>
    <w:rsid w:val="00A92B42"/>
    <w:rsid w:val="00A9442A"/>
    <w:rsid w:val="00A96DD3"/>
    <w:rsid w:val="00AA016F"/>
    <w:rsid w:val="00AA14DA"/>
    <w:rsid w:val="00AA1ED6"/>
    <w:rsid w:val="00AA51D6"/>
    <w:rsid w:val="00AB0BC8"/>
    <w:rsid w:val="00AB11CA"/>
    <w:rsid w:val="00AB14D9"/>
    <w:rsid w:val="00AB4AB8"/>
    <w:rsid w:val="00AB655E"/>
    <w:rsid w:val="00AC007F"/>
    <w:rsid w:val="00AC2ECD"/>
    <w:rsid w:val="00AC3119"/>
    <w:rsid w:val="00AC49FB"/>
    <w:rsid w:val="00AC5A10"/>
    <w:rsid w:val="00AC66F3"/>
    <w:rsid w:val="00AD001C"/>
    <w:rsid w:val="00AD0AA3"/>
    <w:rsid w:val="00AD25AF"/>
    <w:rsid w:val="00AD2ED0"/>
    <w:rsid w:val="00AD3F94"/>
    <w:rsid w:val="00AD45A2"/>
    <w:rsid w:val="00AD4A5A"/>
    <w:rsid w:val="00AE27AC"/>
    <w:rsid w:val="00AE3371"/>
    <w:rsid w:val="00AE40E0"/>
    <w:rsid w:val="00AE4DBA"/>
    <w:rsid w:val="00AE4F07"/>
    <w:rsid w:val="00AF1C5D"/>
    <w:rsid w:val="00AF42D7"/>
    <w:rsid w:val="00B006FE"/>
    <w:rsid w:val="00B007CB"/>
    <w:rsid w:val="00B023A1"/>
    <w:rsid w:val="00B02AA9"/>
    <w:rsid w:val="00B02FA3"/>
    <w:rsid w:val="00B048E3"/>
    <w:rsid w:val="00B05084"/>
    <w:rsid w:val="00B157F9"/>
    <w:rsid w:val="00B20256"/>
    <w:rsid w:val="00B2071A"/>
    <w:rsid w:val="00B20D09"/>
    <w:rsid w:val="00B24A71"/>
    <w:rsid w:val="00B26F9A"/>
    <w:rsid w:val="00B2763F"/>
    <w:rsid w:val="00B27AAC"/>
    <w:rsid w:val="00B30929"/>
    <w:rsid w:val="00B372AA"/>
    <w:rsid w:val="00B40445"/>
    <w:rsid w:val="00B409E0"/>
    <w:rsid w:val="00B415E1"/>
    <w:rsid w:val="00B41888"/>
    <w:rsid w:val="00B45A52"/>
    <w:rsid w:val="00B46175"/>
    <w:rsid w:val="00B46724"/>
    <w:rsid w:val="00B53F46"/>
    <w:rsid w:val="00B548B7"/>
    <w:rsid w:val="00B61870"/>
    <w:rsid w:val="00B664C7"/>
    <w:rsid w:val="00B70F4A"/>
    <w:rsid w:val="00B739F6"/>
    <w:rsid w:val="00B73AC1"/>
    <w:rsid w:val="00B769D2"/>
    <w:rsid w:val="00B81A6C"/>
    <w:rsid w:val="00B83975"/>
    <w:rsid w:val="00B85DE5"/>
    <w:rsid w:val="00B90F73"/>
    <w:rsid w:val="00B92426"/>
    <w:rsid w:val="00B93B59"/>
    <w:rsid w:val="00B9406A"/>
    <w:rsid w:val="00B94B0D"/>
    <w:rsid w:val="00B9715C"/>
    <w:rsid w:val="00BA2280"/>
    <w:rsid w:val="00BA2A08"/>
    <w:rsid w:val="00BA56D2"/>
    <w:rsid w:val="00BA69DD"/>
    <w:rsid w:val="00BA717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555"/>
    <w:rsid w:val="00C02CC6"/>
    <w:rsid w:val="00C03EC6"/>
    <w:rsid w:val="00C040F7"/>
    <w:rsid w:val="00C044AB"/>
    <w:rsid w:val="00C05706"/>
    <w:rsid w:val="00C07377"/>
    <w:rsid w:val="00C10478"/>
    <w:rsid w:val="00C12107"/>
    <w:rsid w:val="00C14D4B"/>
    <w:rsid w:val="00C154BB"/>
    <w:rsid w:val="00C156BE"/>
    <w:rsid w:val="00C279B5"/>
    <w:rsid w:val="00C27C45"/>
    <w:rsid w:val="00C3719D"/>
    <w:rsid w:val="00C37B4D"/>
    <w:rsid w:val="00C37CB2"/>
    <w:rsid w:val="00C404DE"/>
    <w:rsid w:val="00C45A96"/>
    <w:rsid w:val="00C470FC"/>
    <w:rsid w:val="00C473A5"/>
    <w:rsid w:val="00C5054E"/>
    <w:rsid w:val="00C54995"/>
    <w:rsid w:val="00C54D41"/>
    <w:rsid w:val="00C60783"/>
    <w:rsid w:val="00C62702"/>
    <w:rsid w:val="00C64672"/>
    <w:rsid w:val="00C66E70"/>
    <w:rsid w:val="00C70697"/>
    <w:rsid w:val="00C70EEC"/>
    <w:rsid w:val="00C71C25"/>
    <w:rsid w:val="00C72076"/>
    <w:rsid w:val="00C72093"/>
    <w:rsid w:val="00C72EF4"/>
    <w:rsid w:val="00C744FE"/>
    <w:rsid w:val="00C75D2F"/>
    <w:rsid w:val="00C767BE"/>
    <w:rsid w:val="00C76E3C"/>
    <w:rsid w:val="00C81568"/>
    <w:rsid w:val="00C9027A"/>
    <w:rsid w:val="00C9068E"/>
    <w:rsid w:val="00C93814"/>
    <w:rsid w:val="00C93C4B"/>
    <w:rsid w:val="00C944AB"/>
    <w:rsid w:val="00C95B40"/>
    <w:rsid w:val="00CA0538"/>
    <w:rsid w:val="00CA1ED8"/>
    <w:rsid w:val="00CA2DED"/>
    <w:rsid w:val="00CA4E6E"/>
    <w:rsid w:val="00CB1F63"/>
    <w:rsid w:val="00CB7170"/>
    <w:rsid w:val="00CC040E"/>
    <w:rsid w:val="00CC111F"/>
    <w:rsid w:val="00CC2011"/>
    <w:rsid w:val="00CC3EA0"/>
    <w:rsid w:val="00CC7B45"/>
    <w:rsid w:val="00CD1188"/>
    <w:rsid w:val="00CD2ED1"/>
    <w:rsid w:val="00CD337B"/>
    <w:rsid w:val="00CE0424"/>
    <w:rsid w:val="00CE1325"/>
    <w:rsid w:val="00CE7561"/>
    <w:rsid w:val="00CF1354"/>
    <w:rsid w:val="00CF1F77"/>
    <w:rsid w:val="00CF3B1F"/>
    <w:rsid w:val="00CF3BF6"/>
    <w:rsid w:val="00CF625B"/>
    <w:rsid w:val="00CF687E"/>
    <w:rsid w:val="00D02B0C"/>
    <w:rsid w:val="00D032CB"/>
    <w:rsid w:val="00D0349B"/>
    <w:rsid w:val="00D10249"/>
    <w:rsid w:val="00D115C3"/>
    <w:rsid w:val="00D11897"/>
    <w:rsid w:val="00D13135"/>
    <w:rsid w:val="00D13E4E"/>
    <w:rsid w:val="00D16FAA"/>
    <w:rsid w:val="00D239A7"/>
    <w:rsid w:val="00D23F47"/>
    <w:rsid w:val="00D35E96"/>
    <w:rsid w:val="00D36E71"/>
    <w:rsid w:val="00D37D87"/>
    <w:rsid w:val="00D40B33"/>
    <w:rsid w:val="00D4318F"/>
    <w:rsid w:val="00D438BF"/>
    <w:rsid w:val="00D440F8"/>
    <w:rsid w:val="00D546FF"/>
    <w:rsid w:val="00D55AD5"/>
    <w:rsid w:val="00D57647"/>
    <w:rsid w:val="00D576CA"/>
    <w:rsid w:val="00D61AF5"/>
    <w:rsid w:val="00D652B5"/>
    <w:rsid w:val="00D66155"/>
    <w:rsid w:val="00D708B0"/>
    <w:rsid w:val="00D74B19"/>
    <w:rsid w:val="00D77B1D"/>
    <w:rsid w:val="00D8021F"/>
    <w:rsid w:val="00D80383"/>
    <w:rsid w:val="00D823C6"/>
    <w:rsid w:val="00D829E9"/>
    <w:rsid w:val="00D830AC"/>
    <w:rsid w:val="00D8327F"/>
    <w:rsid w:val="00D86CA3"/>
    <w:rsid w:val="00D87044"/>
    <w:rsid w:val="00D871CE"/>
    <w:rsid w:val="00D918C4"/>
    <w:rsid w:val="00D9196D"/>
    <w:rsid w:val="00D92982"/>
    <w:rsid w:val="00DA087D"/>
    <w:rsid w:val="00DA305E"/>
    <w:rsid w:val="00DA5417"/>
    <w:rsid w:val="00DA56E8"/>
    <w:rsid w:val="00DB0A9F"/>
    <w:rsid w:val="00DB377D"/>
    <w:rsid w:val="00DB627B"/>
    <w:rsid w:val="00DB72AF"/>
    <w:rsid w:val="00DC24AC"/>
    <w:rsid w:val="00DC2D36"/>
    <w:rsid w:val="00DC53EF"/>
    <w:rsid w:val="00DD2379"/>
    <w:rsid w:val="00DD3E5E"/>
    <w:rsid w:val="00DE0939"/>
    <w:rsid w:val="00DE5608"/>
    <w:rsid w:val="00DE58D0"/>
    <w:rsid w:val="00DE654F"/>
    <w:rsid w:val="00DE6CE8"/>
    <w:rsid w:val="00DF00BF"/>
    <w:rsid w:val="00DF0B6E"/>
    <w:rsid w:val="00DF15E0"/>
    <w:rsid w:val="00DF37A0"/>
    <w:rsid w:val="00E02AD2"/>
    <w:rsid w:val="00E06B0A"/>
    <w:rsid w:val="00E07560"/>
    <w:rsid w:val="00E110E7"/>
    <w:rsid w:val="00E117E2"/>
    <w:rsid w:val="00E11B20"/>
    <w:rsid w:val="00E17FA2"/>
    <w:rsid w:val="00E20D68"/>
    <w:rsid w:val="00E22330"/>
    <w:rsid w:val="00E304B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965"/>
    <w:rsid w:val="00E54E3B"/>
    <w:rsid w:val="00E57565"/>
    <w:rsid w:val="00E60BDF"/>
    <w:rsid w:val="00E63838"/>
    <w:rsid w:val="00E64434"/>
    <w:rsid w:val="00E6553E"/>
    <w:rsid w:val="00E662FD"/>
    <w:rsid w:val="00E67C51"/>
    <w:rsid w:val="00E72EFC"/>
    <w:rsid w:val="00E745CA"/>
    <w:rsid w:val="00E758EC"/>
    <w:rsid w:val="00E8234C"/>
    <w:rsid w:val="00E83AA9"/>
    <w:rsid w:val="00E85928"/>
    <w:rsid w:val="00E8620E"/>
    <w:rsid w:val="00E87822"/>
    <w:rsid w:val="00E90395"/>
    <w:rsid w:val="00E90E49"/>
    <w:rsid w:val="00E917F9"/>
    <w:rsid w:val="00E921FD"/>
    <w:rsid w:val="00E9291C"/>
    <w:rsid w:val="00E93FFE"/>
    <w:rsid w:val="00E94F8A"/>
    <w:rsid w:val="00EA7A41"/>
    <w:rsid w:val="00EB077B"/>
    <w:rsid w:val="00EB1DD1"/>
    <w:rsid w:val="00EB4EA2"/>
    <w:rsid w:val="00EC24D5"/>
    <w:rsid w:val="00EC27C6"/>
    <w:rsid w:val="00EC3A6B"/>
    <w:rsid w:val="00EC3D8F"/>
    <w:rsid w:val="00EC4207"/>
    <w:rsid w:val="00EC5653"/>
    <w:rsid w:val="00EC71CE"/>
    <w:rsid w:val="00ED1006"/>
    <w:rsid w:val="00EE1D29"/>
    <w:rsid w:val="00EF18FE"/>
    <w:rsid w:val="00EF5787"/>
    <w:rsid w:val="00EF60D0"/>
    <w:rsid w:val="00F0528D"/>
    <w:rsid w:val="00F06C67"/>
    <w:rsid w:val="00F06DFD"/>
    <w:rsid w:val="00F071D1"/>
    <w:rsid w:val="00F07533"/>
    <w:rsid w:val="00F10629"/>
    <w:rsid w:val="00F15FA5"/>
    <w:rsid w:val="00F209B7"/>
    <w:rsid w:val="00F2376F"/>
    <w:rsid w:val="00F243D8"/>
    <w:rsid w:val="00F275C6"/>
    <w:rsid w:val="00F30828"/>
    <w:rsid w:val="00F313D6"/>
    <w:rsid w:val="00F369A8"/>
    <w:rsid w:val="00F40F0C"/>
    <w:rsid w:val="00F4579A"/>
    <w:rsid w:val="00F4766C"/>
    <w:rsid w:val="00F5060E"/>
    <w:rsid w:val="00F507D1"/>
    <w:rsid w:val="00F519CE"/>
    <w:rsid w:val="00F51ADA"/>
    <w:rsid w:val="00F53E65"/>
    <w:rsid w:val="00F60203"/>
    <w:rsid w:val="00F6040E"/>
    <w:rsid w:val="00F607C5"/>
    <w:rsid w:val="00F60DEA"/>
    <w:rsid w:val="00F61332"/>
    <w:rsid w:val="00F6302A"/>
    <w:rsid w:val="00F63950"/>
    <w:rsid w:val="00F64C2B"/>
    <w:rsid w:val="00F651BE"/>
    <w:rsid w:val="00F67F53"/>
    <w:rsid w:val="00F703BE"/>
    <w:rsid w:val="00F714BE"/>
    <w:rsid w:val="00F71F69"/>
    <w:rsid w:val="00F72B72"/>
    <w:rsid w:val="00F74BB9"/>
    <w:rsid w:val="00F75582"/>
    <w:rsid w:val="00F7689C"/>
    <w:rsid w:val="00F76EFA"/>
    <w:rsid w:val="00F80103"/>
    <w:rsid w:val="00F804BE"/>
    <w:rsid w:val="00F817CE"/>
    <w:rsid w:val="00F8456C"/>
    <w:rsid w:val="00F859D8"/>
    <w:rsid w:val="00F868F5"/>
    <w:rsid w:val="00F9056A"/>
    <w:rsid w:val="00F90F8D"/>
    <w:rsid w:val="00F92782"/>
    <w:rsid w:val="00F93AA9"/>
    <w:rsid w:val="00F96985"/>
    <w:rsid w:val="00F97838"/>
    <w:rsid w:val="00F97B8A"/>
    <w:rsid w:val="00FA0ED6"/>
    <w:rsid w:val="00FA2BB3"/>
    <w:rsid w:val="00FA64E3"/>
    <w:rsid w:val="00FB4C80"/>
    <w:rsid w:val="00FB6A6A"/>
    <w:rsid w:val="00FC7429"/>
    <w:rsid w:val="00FD07F6"/>
    <w:rsid w:val="00FD1EC8"/>
    <w:rsid w:val="00FD47ED"/>
    <w:rsid w:val="00FD7253"/>
    <w:rsid w:val="00FD74DB"/>
    <w:rsid w:val="00FD7660"/>
    <w:rsid w:val="00FE0655"/>
    <w:rsid w:val="00FE06E5"/>
    <w:rsid w:val="00FE2365"/>
    <w:rsid w:val="00FE37D7"/>
    <w:rsid w:val="00FE4C7B"/>
    <w:rsid w:val="00FE7336"/>
    <w:rsid w:val="00FE787C"/>
    <w:rsid w:val="00FF2E1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49034B75-8614-49DC-8D30-6460F64D0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basedOn w:val="Normal"/>
    <w:next w:val="Normal"/>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22"/>
      </w:numPr>
    </w:pPr>
  </w:style>
  <w:style w:type="paragraph" w:styleId="ListNumber">
    <w:name w:val="List Number"/>
    <w:basedOn w:val="List"/>
    <w:rsid w:val="00BA7172"/>
    <w:pPr>
      <w:numPr>
        <w:numId w:val="2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17"/>
      </w:numPr>
    </w:pPr>
  </w:style>
  <w:style w:type="paragraph" w:styleId="ListBullet">
    <w:name w:val="List Bullet"/>
    <w:basedOn w:val="List"/>
    <w:rsid w:val="00BA7172"/>
    <w:pPr>
      <w:numPr>
        <w:numId w:val="16"/>
      </w:numPr>
    </w:pPr>
    <w:rPr>
      <w:lang w:eastAsia="ja-JP"/>
    </w:rPr>
  </w:style>
  <w:style w:type="paragraph" w:styleId="ListBullet3">
    <w:name w:val="List Bullet 3"/>
    <w:basedOn w:val="ListBullet2"/>
    <w:rsid w:val="00BA7172"/>
    <w:pPr>
      <w:numPr>
        <w:numId w:val="1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19"/>
      </w:numPr>
    </w:pPr>
  </w:style>
  <w:style w:type="paragraph" w:styleId="ListBullet5">
    <w:name w:val="List Bullet 5"/>
    <w:basedOn w:val="ListBullet4"/>
    <w:rsid w:val="00BA7172"/>
    <w:pPr>
      <w:numPr>
        <w:numId w:val="2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rsid w:val="00BA7172"/>
    <w:pPr>
      <w:numPr>
        <w:numId w:val="2"/>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3"/>
      </w:numPr>
      <w:tabs>
        <w:tab w:val="clear" w:pos="1304"/>
        <w:tab w:val="left" w:pos="1701"/>
      </w:tabs>
      <w:ind w:left="1701" w:hanging="1701"/>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13"/>
      </w:numPr>
      <w:ind w:left="1701" w:hanging="1701"/>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14"/>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10"/>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5021">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665937464">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074621552">
      <w:bodyDiv w:val="1"/>
      <w:marLeft w:val="0"/>
      <w:marRight w:val="0"/>
      <w:marTop w:val="0"/>
      <w:marBottom w:val="0"/>
      <w:divBdr>
        <w:top w:val="none" w:sz="0" w:space="0" w:color="auto"/>
        <w:left w:val="none" w:sz="0" w:space="0" w:color="auto"/>
        <w:bottom w:val="none" w:sz="0" w:space="0" w:color="auto"/>
        <w:right w:val="none" w:sz="0" w:space="0" w:color="auto"/>
      </w:divBdr>
    </w:div>
    <w:div w:id="1079138748">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883666343">
      <w:bodyDiv w:val="1"/>
      <w:marLeft w:val="0"/>
      <w:marRight w:val="0"/>
      <w:marTop w:val="0"/>
      <w:marBottom w:val="0"/>
      <w:divBdr>
        <w:top w:val="none" w:sz="0" w:space="0" w:color="auto"/>
        <w:left w:val="none" w:sz="0" w:space="0" w:color="auto"/>
        <w:bottom w:val="none" w:sz="0" w:space="0" w:color="auto"/>
        <w:right w:val="none" w:sz="0" w:space="0" w:color="auto"/>
      </w:divBdr>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Mean UL</a:t>
            </a:r>
            <a:r>
              <a:rPr lang="en-US" baseline="0"/>
              <a:t> </a:t>
            </a:r>
            <a:r>
              <a:rPr lang="en-US"/>
              <a:t>Object Data Rate Per User [Mbps]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15KHz</c:v>
                </c:pt>
              </c:strCache>
            </c:strRef>
          </c:tx>
          <c:spPr>
            <a:solidFill>
              <a:schemeClr val="accent1"/>
            </a:solidFill>
            <a:ln>
              <a:noFill/>
            </a:ln>
            <a:effectLst/>
          </c:spPr>
          <c:invertIfNegative val="0"/>
          <c:cat>
            <c:strRef>
              <c:f>Sheet1!$A$2:$A$4</c:f>
              <c:strCache>
                <c:ptCount val="3"/>
                <c:pt idx="0">
                  <c:v>15 % BO</c:v>
                </c:pt>
                <c:pt idx="1">
                  <c:v> 30 % BO</c:v>
                </c:pt>
                <c:pt idx="2">
                  <c:v>70 % BO</c:v>
                </c:pt>
              </c:strCache>
            </c:strRef>
          </c:cat>
          <c:val>
            <c:numRef>
              <c:f>Sheet1!$B$2:$B$4</c:f>
              <c:numCache>
                <c:formatCode>General</c:formatCode>
                <c:ptCount val="3"/>
                <c:pt idx="0">
                  <c:v>62.754800000000003</c:v>
                </c:pt>
                <c:pt idx="1">
                  <c:v>50.395499999999998</c:v>
                </c:pt>
                <c:pt idx="2">
                  <c:v>21.653199999999998</c:v>
                </c:pt>
              </c:numCache>
            </c:numRef>
          </c:val>
          <c:extLst>
            <c:ext xmlns:c16="http://schemas.microsoft.com/office/drawing/2014/chart" uri="{C3380CC4-5D6E-409C-BE32-E72D297353CC}">
              <c16:uniqueId val="{00000000-662D-4EA3-A798-EC2B35FB6D26}"/>
            </c:ext>
          </c:extLst>
        </c:ser>
        <c:ser>
          <c:idx val="1"/>
          <c:order val="1"/>
          <c:tx>
            <c:strRef>
              <c:f>Sheet1!$C$1</c:f>
              <c:strCache>
                <c:ptCount val="1"/>
                <c:pt idx="0">
                  <c:v>30KHz</c:v>
                </c:pt>
              </c:strCache>
            </c:strRef>
          </c:tx>
          <c:spPr>
            <a:solidFill>
              <a:schemeClr val="accent2"/>
            </a:solidFill>
            <a:ln>
              <a:noFill/>
            </a:ln>
            <a:effectLst/>
          </c:spPr>
          <c:invertIfNegative val="0"/>
          <c:cat>
            <c:strRef>
              <c:f>Sheet1!$A$2:$A$4</c:f>
              <c:strCache>
                <c:ptCount val="3"/>
                <c:pt idx="0">
                  <c:v>15 % BO</c:v>
                </c:pt>
                <c:pt idx="1">
                  <c:v> 30 % BO</c:v>
                </c:pt>
                <c:pt idx="2">
                  <c:v>70 % BO</c:v>
                </c:pt>
              </c:strCache>
            </c:strRef>
          </c:cat>
          <c:val>
            <c:numRef>
              <c:f>Sheet1!$C$2:$C$4</c:f>
              <c:numCache>
                <c:formatCode>General</c:formatCode>
                <c:ptCount val="3"/>
                <c:pt idx="0">
                  <c:v>75.838099999999997</c:v>
                </c:pt>
                <c:pt idx="1">
                  <c:v>60.0886</c:v>
                </c:pt>
                <c:pt idx="2">
                  <c:v>24.296800000000001</c:v>
                </c:pt>
              </c:numCache>
            </c:numRef>
          </c:val>
          <c:extLst>
            <c:ext xmlns:c16="http://schemas.microsoft.com/office/drawing/2014/chart" uri="{C3380CC4-5D6E-409C-BE32-E72D297353CC}">
              <c16:uniqueId val="{00000001-662D-4EA3-A798-EC2B35FB6D26}"/>
            </c:ext>
          </c:extLst>
        </c:ser>
        <c:ser>
          <c:idx val="2"/>
          <c:order val="2"/>
          <c:tx>
            <c:strRef>
              <c:f>Sheet1!$D$1</c:f>
              <c:strCache>
                <c:ptCount val="1"/>
                <c:pt idx="0">
                  <c:v>60KHz</c:v>
                </c:pt>
              </c:strCache>
            </c:strRef>
          </c:tx>
          <c:spPr>
            <a:solidFill>
              <a:schemeClr val="accent3"/>
            </a:solidFill>
            <a:ln>
              <a:noFill/>
            </a:ln>
            <a:effectLst/>
          </c:spPr>
          <c:invertIfNegative val="0"/>
          <c:cat>
            <c:strRef>
              <c:f>Sheet1!$A$2:$A$4</c:f>
              <c:strCache>
                <c:ptCount val="3"/>
                <c:pt idx="0">
                  <c:v>15 % BO</c:v>
                </c:pt>
                <c:pt idx="1">
                  <c:v> 30 % BO</c:v>
                </c:pt>
                <c:pt idx="2">
                  <c:v>70 % BO</c:v>
                </c:pt>
              </c:strCache>
            </c:strRef>
          </c:cat>
          <c:val>
            <c:numRef>
              <c:f>Sheet1!$D$2:$D$4</c:f>
              <c:numCache>
                <c:formatCode>General</c:formatCode>
                <c:ptCount val="3"/>
                <c:pt idx="0">
                  <c:v>79.152799999999999</c:v>
                </c:pt>
                <c:pt idx="1">
                  <c:v>62.73</c:v>
                </c:pt>
                <c:pt idx="2">
                  <c:v>24.401599999999998</c:v>
                </c:pt>
              </c:numCache>
            </c:numRef>
          </c:val>
          <c:extLst>
            <c:ext xmlns:c16="http://schemas.microsoft.com/office/drawing/2014/chart" uri="{C3380CC4-5D6E-409C-BE32-E72D297353CC}">
              <c16:uniqueId val="{00000002-662D-4EA3-A798-EC2B35FB6D26}"/>
            </c:ext>
          </c:extLst>
        </c:ser>
        <c:dLbls>
          <c:showLegendKey val="0"/>
          <c:showVal val="0"/>
          <c:showCatName val="0"/>
          <c:showSerName val="0"/>
          <c:showPercent val="0"/>
          <c:showBubbleSize val="0"/>
        </c:dLbls>
        <c:gapWidth val="219"/>
        <c:overlap val="-27"/>
        <c:axId val="690056824"/>
        <c:axId val="690057152"/>
      </c:barChart>
      <c:catAx>
        <c:axId val="6900568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0057152"/>
        <c:crosses val="autoZero"/>
        <c:auto val="1"/>
        <c:lblAlgn val="ctr"/>
        <c:lblOffset val="100"/>
        <c:noMultiLvlLbl val="0"/>
      </c:catAx>
      <c:valAx>
        <c:axId val="6900571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00568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Mean DL Object Data Rate Per User [Mbps]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15KHz</c:v>
                </c:pt>
              </c:strCache>
            </c:strRef>
          </c:tx>
          <c:spPr>
            <a:solidFill>
              <a:schemeClr val="accent1"/>
            </a:solidFill>
            <a:ln>
              <a:noFill/>
            </a:ln>
            <a:effectLst/>
          </c:spPr>
          <c:invertIfNegative val="0"/>
          <c:cat>
            <c:strRef>
              <c:f>Sheet1!$A$2:$A$4</c:f>
              <c:strCache>
                <c:ptCount val="3"/>
                <c:pt idx="0">
                  <c:v>15 % BO</c:v>
                </c:pt>
                <c:pt idx="1">
                  <c:v> 30 % BO</c:v>
                </c:pt>
                <c:pt idx="2">
                  <c:v>70 % BO</c:v>
                </c:pt>
              </c:strCache>
            </c:strRef>
          </c:cat>
          <c:val>
            <c:numRef>
              <c:f>Sheet1!$B$2:$B$4</c:f>
              <c:numCache>
                <c:formatCode>General</c:formatCode>
                <c:ptCount val="3"/>
                <c:pt idx="0">
                  <c:v>97.670900000000003</c:v>
                </c:pt>
                <c:pt idx="1">
                  <c:v>81.314400000000006</c:v>
                </c:pt>
                <c:pt idx="2">
                  <c:v>37.314</c:v>
                </c:pt>
              </c:numCache>
            </c:numRef>
          </c:val>
          <c:extLst>
            <c:ext xmlns:c16="http://schemas.microsoft.com/office/drawing/2014/chart" uri="{C3380CC4-5D6E-409C-BE32-E72D297353CC}">
              <c16:uniqueId val="{00000000-36ED-4469-AF44-D203FF17C6A3}"/>
            </c:ext>
          </c:extLst>
        </c:ser>
        <c:ser>
          <c:idx val="1"/>
          <c:order val="1"/>
          <c:tx>
            <c:strRef>
              <c:f>Sheet1!$C$1</c:f>
              <c:strCache>
                <c:ptCount val="1"/>
                <c:pt idx="0">
                  <c:v>30KHz</c:v>
                </c:pt>
              </c:strCache>
            </c:strRef>
          </c:tx>
          <c:spPr>
            <a:solidFill>
              <a:schemeClr val="accent2"/>
            </a:solidFill>
            <a:ln>
              <a:noFill/>
            </a:ln>
            <a:effectLst/>
          </c:spPr>
          <c:invertIfNegative val="0"/>
          <c:cat>
            <c:strRef>
              <c:f>Sheet1!$A$2:$A$4</c:f>
              <c:strCache>
                <c:ptCount val="3"/>
                <c:pt idx="0">
                  <c:v>15 % BO</c:v>
                </c:pt>
                <c:pt idx="1">
                  <c:v> 30 % BO</c:v>
                </c:pt>
                <c:pt idx="2">
                  <c:v>70 % BO</c:v>
                </c:pt>
              </c:strCache>
            </c:strRef>
          </c:cat>
          <c:val>
            <c:numRef>
              <c:f>Sheet1!$C$2:$C$4</c:f>
              <c:numCache>
                <c:formatCode>General</c:formatCode>
                <c:ptCount val="3"/>
                <c:pt idx="0">
                  <c:v>96.884399999999999</c:v>
                </c:pt>
                <c:pt idx="1">
                  <c:v>79.973600000000005</c:v>
                </c:pt>
                <c:pt idx="2">
                  <c:v>36.842300000000002</c:v>
                </c:pt>
              </c:numCache>
            </c:numRef>
          </c:val>
          <c:extLst>
            <c:ext xmlns:c16="http://schemas.microsoft.com/office/drawing/2014/chart" uri="{C3380CC4-5D6E-409C-BE32-E72D297353CC}">
              <c16:uniqueId val="{00000001-36ED-4469-AF44-D203FF17C6A3}"/>
            </c:ext>
          </c:extLst>
        </c:ser>
        <c:ser>
          <c:idx val="2"/>
          <c:order val="2"/>
          <c:tx>
            <c:strRef>
              <c:f>Sheet1!$D$1</c:f>
              <c:strCache>
                <c:ptCount val="1"/>
                <c:pt idx="0">
                  <c:v>60KHz</c:v>
                </c:pt>
              </c:strCache>
            </c:strRef>
          </c:tx>
          <c:spPr>
            <a:solidFill>
              <a:schemeClr val="accent3"/>
            </a:solidFill>
            <a:ln>
              <a:noFill/>
            </a:ln>
            <a:effectLst/>
          </c:spPr>
          <c:invertIfNegative val="0"/>
          <c:cat>
            <c:strRef>
              <c:f>Sheet1!$A$2:$A$4</c:f>
              <c:strCache>
                <c:ptCount val="3"/>
                <c:pt idx="0">
                  <c:v>15 % BO</c:v>
                </c:pt>
                <c:pt idx="1">
                  <c:v> 30 % BO</c:v>
                </c:pt>
                <c:pt idx="2">
                  <c:v>70 % BO</c:v>
                </c:pt>
              </c:strCache>
            </c:strRef>
          </c:cat>
          <c:val>
            <c:numRef>
              <c:f>Sheet1!$D$2:$D$4</c:f>
              <c:numCache>
                <c:formatCode>General</c:formatCode>
                <c:ptCount val="3"/>
                <c:pt idx="0">
                  <c:v>90.511700000000005</c:v>
                </c:pt>
                <c:pt idx="1">
                  <c:v>75.797200000000004</c:v>
                </c:pt>
                <c:pt idx="2">
                  <c:v>35.336599999999997</c:v>
                </c:pt>
              </c:numCache>
            </c:numRef>
          </c:val>
          <c:extLst>
            <c:ext xmlns:c16="http://schemas.microsoft.com/office/drawing/2014/chart" uri="{C3380CC4-5D6E-409C-BE32-E72D297353CC}">
              <c16:uniqueId val="{00000002-36ED-4469-AF44-D203FF17C6A3}"/>
            </c:ext>
          </c:extLst>
        </c:ser>
        <c:dLbls>
          <c:showLegendKey val="0"/>
          <c:showVal val="0"/>
          <c:showCatName val="0"/>
          <c:showSerName val="0"/>
          <c:showPercent val="0"/>
          <c:showBubbleSize val="0"/>
        </c:dLbls>
        <c:gapWidth val="219"/>
        <c:overlap val="-27"/>
        <c:axId val="690056824"/>
        <c:axId val="690057152"/>
      </c:barChart>
      <c:catAx>
        <c:axId val="6900568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0057152"/>
        <c:crosses val="autoZero"/>
        <c:auto val="1"/>
        <c:lblAlgn val="ctr"/>
        <c:lblOffset val="100"/>
        <c:noMultiLvlLbl val="0"/>
      </c:catAx>
      <c:valAx>
        <c:axId val="6900571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00568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Mean UL</a:t>
            </a:r>
            <a:r>
              <a:rPr lang="en-US" baseline="0"/>
              <a:t> </a:t>
            </a:r>
            <a:r>
              <a:rPr lang="en-US"/>
              <a:t>Object Data Rate Per User [Mbps]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15KHz</c:v>
                </c:pt>
              </c:strCache>
            </c:strRef>
          </c:tx>
          <c:spPr>
            <a:solidFill>
              <a:schemeClr val="accent1"/>
            </a:solidFill>
            <a:ln>
              <a:noFill/>
            </a:ln>
            <a:effectLst/>
          </c:spPr>
          <c:invertIfNegative val="0"/>
          <c:cat>
            <c:strRef>
              <c:f>Sheet1!$A$2:$A$4</c:f>
              <c:strCache>
                <c:ptCount val="3"/>
                <c:pt idx="0">
                  <c:v>15 % BO</c:v>
                </c:pt>
                <c:pt idx="1">
                  <c:v> 30 % BO</c:v>
                </c:pt>
                <c:pt idx="2">
                  <c:v>70 % BO</c:v>
                </c:pt>
              </c:strCache>
            </c:strRef>
          </c:cat>
          <c:val>
            <c:numRef>
              <c:f>Sheet1!$B$2:$B$4</c:f>
              <c:numCache>
                <c:formatCode>General</c:formatCode>
                <c:ptCount val="3"/>
                <c:pt idx="0">
                  <c:v>54.979399999999998</c:v>
                </c:pt>
                <c:pt idx="1">
                  <c:v>41.413200000000003</c:v>
                </c:pt>
                <c:pt idx="2">
                  <c:v>10.158899999999999</c:v>
                </c:pt>
              </c:numCache>
            </c:numRef>
          </c:val>
          <c:extLst>
            <c:ext xmlns:c16="http://schemas.microsoft.com/office/drawing/2014/chart" uri="{C3380CC4-5D6E-409C-BE32-E72D297353CC}">
              <c16:uniqueId val="{00000000-84E4-4FD3-A51B-F2A92C215CB9}"/>
            </c:ext>
          </c:extLst>
        </c:ser>
        <c:ser>
          <c:idx val="1"/>
          <c:order val="1"/>
          <c:tx>
            <c:strRef>
              <c:f>Sheet1!$C$1</c:f>
              <c:strCache>
                <c:ptCount val="1"/>
                <c:pt idx="0">
                  <c:v>30KHz</c:v>
                </c:pt>
              </c:strCache>
            </c:strRef>
          </c:tx>
          <c:spPr>
            <a:solidFill>
              <a:schemeClr val="accent2"/>
            </a:solidFill>
            <a:ln>
              <a:noFill/>
            </a:ln>
            <a:effectLst/>
          </c:spPr>
          <c:invertIfNegative val="0"/>
          <c:cat>
            <c:strRef>
              <c:f>Sheet1!$A$2:$A$4</c:f>
              <c:strCache>
                <c:ptCount val="3"/>
                <c:pt idx="0">
                  <c:v>15 % BO</c:v>
                </c:pt>
                <c:pt idx="1">
                  <c:v> 30 % BO</c:v>
                </c:pt>
                <c:pt idx="2">
                  <c:v>70 % BO</c:v>
                </c:pt>
              </c:strCache>
            </c:strRef>
          </c:cat>
          <c:val>
            <c:numRef>
              <c:f>Sheet1!$C$2:$C$4</c:f>
              <c:numCache>
                <c:formatCode>General</c:formatCode>
                <c:ptCount val="3"/>
                <c:pt idx="0">
                  <c:v>65.257900000000006</c:v>
                </c:pt>
                <c:pt idx="1">
                  <c:v>49.6357</c:v>
                </c:pt>
                <c:pt idx="2">
                  <c:v>11.365</c:v>
                </c:pt>
              </c:numCache>
            </c:numRef>
          </c:val>
          <c:extLst>
            <c:ext xmlns:c16="http://schemas.microsoft.com/office/drawing/2014/chart" uri="{C3380CC4-5D6E-409C-BE32-E72D297353CC}">
              <c16:uniqueId val="{00000001-84E4-4FD3-A51B-F2A92C215CB9}"/>
            </c:ext>
          </c:extLst>
        </c:ser>
        <c:ser>
          <c:idx val="2"/>
          <c:order val="2"/>
          <c:tx>
            <c:strRef>
              <c:f>Sheet1!$D$1</c:f>
              <c:strCache>
                <c:ptCount val="1"/>
                <c:pt idx="0">
                  <c:v>60KHz</c:v>
                </c:pt>
              </c:strCache>
            </c:strRef>
          </c:tx>
          <c:spPr>
            <a:solidFill>
              <a:schemeClr val="accent3"/>
            </a:solidFill>
            <a:ln>
              <a:noFill/>
            </a:ln>
            <a:effectLst/>
          </c:spPr>
          <c:invertIfNegative val="0"/>
          <c:cat>
            <c:strRef>
              <c:f>Sheet1!$A$2:$A$4</c:f>
              <c:strCache>
                <c:ptCount val="3"/>
                <c:pt idx="0">
                  <c:v>15 % BO</c:v>
                </c:pt>
                <c:pt idx="1">
                  <c:v> 30 % BO</c:v>
                </c:pt>
                <c:pt idx="2">
                  <c:v>70 % BO</c:v>
                </c:pt>
              </c:strCache>
            </c:strRef>
          </c:cat>
          <c:val>
            <c:numRef>
              <c:f>Sheet1!$D$2:$D$4</c:f>
              <c:numCache>
                <c:formatCode>General</c:formatCode>
                <c:ptCount val="3"/>
                <c:pt idx="0">
                  <c:v>69.4452</c:v>
                </c:pt>
                <c:pt idx="1">
                  <c:v>52.2958</c:v>
                </c:pt>
                <c:pt idx="2">
                  <c:v>12.082700000000001</c:v>
                </c:pt>
              </c:numCache>
            </c:numRef>
          </c:val>
          <c:extLst>
            <c:ext xmlns:c16="http://schemas.microsoft.com/office/drawing/2014/chart" uri="{C3380CC4-5D6E-409C-BE32-E72D297353CC}">
              <c16:uniqueId val="{00000002-84E4-4FD3-A51B-F2A92C215CB9}"/>
            </c:ext>
          </c:extLst>
        </c:ser>
        <c:dLbls>
          <c:showLegendKey val="0"/>
          <c:showVal val="0"/>
          <c:showCatName val="0"/>
          <c:showSerName val="0"/>
          <c:showPercent val="0"/>
          <c:showBubbleSize val="0"/>
        </c:dLbls>
        <c:gapWidth val="219"/>
        <c:overlap val="-27"/>
        <c:axId val="690056824"/>
        <c:axId val="690057152"/>
      </c:barChart>
      <c:catAx>
        <c:axId val="6900568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0057152"/>
        <c:crosses val="autoZero"/>
        <c:auto val="1"/>
        <c:lblAlgn val="ctr"/>
        <c:lblOffset val="100"/>
        <c:noMultiLvlLbl val="0"/>
      </c:catAx>
      <c:valAx>
        <c:axId val="6900571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00568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Mean DL</a:t>
            </a:r>
            <a:r>
              <a:rPr lang="en-US" baseline="0"/>
              <a:t> </a:t>
            </a:r>
            <a:r>
              <a:rPr lang="en-US"/>
              <a:t>Object Data Rate Per User [Mbps]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15KHz</c:v>
                </c:pt>
              </c:strCache>
            </c:strRef>
          </c:tx>
          <c:spPr>
            <a:solidFill>
              <a:schemeClr val="accent1"/>
            </a:solidFill>
            <a:ln>
              <a:noFill/>
            </a:ln>
            <a:effectLst/>
          </c:spPr>
          <c:invertIfNegative val="0"/>
          <c:cat>
            <c:strRef>
              <c:f>Sheet1!$A$2:$A$4</c:f>
              <c:strCache>
                <c:ptCount val="3"/>
                <c:pt idx="0">
                  <c:v>15 % BO</c:v>
                </c:pt>
                <c:pt idx="1">
                  <c:v> 30 % BO</c:v>
                </c:pt>
                <c:pt idx="2">
                  <c:v>70 % BO</c:v>
                </c:pt>
              </c:strCache>
            </c:strRef>
          </c:cat>
          <c:val>
            <c:numRef>
              <c:f>Sheet1!$B$2:$B$4</c:f>
              <c:numCache>
                <c:formatCode>General</c:formatCode>
                <c:ptCount val="3"/>
                <c:pt idx="0">
                  <c:v>87.908500000000004</c:v>
                </c:pt>
                <c:pt idx="1">
                  <c:v>67.338399999999993</c:v>
                </c:pt>
                <c:pt idx="2">
                  <c:v>18.862100000000002</c:v>
                </c:pt>
              </c:numCache>
            </c:numRef>
          </c:val>
          <c:extLst>
            <c:ext xmlns:c16="http://schemas.microsoft.com/office/drawing/2014/chart" uri="{C3380CC4-5D6E-409C-BE32-E72D297353CC}">
              <c16:uniqueId val="{00000000-D79C-4393-BE59-731AAFAA664C}"/>
            </c:ext>
          </c:extLst>
        </c:ser>
        <c:ser>
          <c:idx val="1"/>
          <c:order val="1"/>
          <c:tx>
            <c:strRef>
              <c:f>Sheet1!$C$1</c:f>
              <c:strCache>
                <c:ptCount val="1"/>
                <c:pt idx="0">
                  <c:v>30KHz</c:v>
                </c:pt>
              </c:strCache>
            </c:strRef>
          </c:tx>
          <c:spPr>
            <a:solidFill>
              <a:schemeClr val="accent2"/>
            </a:solidFill>
            <a:ln>
              <a:noFill/>
            </a:ln>
            <a:effectLst/>
          </c:spPr>
          <c:invertIfNegative val="0"/>
          <c:cat>
            <c:strRef>
              <c:f>Sheet1!$A$2:$A$4</c:f>
              <c:strCache>
                <c:ptCount val="3"/>
                <c:pt idx="0">
                  <c:v>15 % BO</c:v>
                </c:pt>
                <c:pt idx="1">
                  <c:v> 30 % BO</c:v>
                </c:pt>
                <c:pt idx="2">
                  <c:v>70 % BO</c:v>
                </c:pt>
              </c:strCache>
            </c:strRef>
          </c:cat>
          <c:val>
            <c:numRef>
              <c:f>Sheet1!$C$2:$C$4</c:f>
              <c:numCache>
                <c:formatCode>General</c:formatCode>
                <c:ptCount val="3"/>
                <c:pt idx="0">
                  <c:v>85.511700000000005</c:v>
                </c:pt>
                <c:pt idx="1">
                  <c:v>65.630099999999999</c:v>
                </c:pt>
                <c:pt idx="2">
                  <c:v>17.610700000000001</c:v>
                </c:pt>
              </c:numCache>
            </c:numRef>
          </c:val>
          <c:extLst>
            <c:ext xmlns:c16="http://schemas.microsoft.com/office/drawing/2014/chart" uri="{C3380CC4-5D6E-409C-BE32-E72D297353CC}">
              <c16:uniqueId val="{00000001-D79C-4393-BE59-731AAFAA664C}"/>
            </c:ext>
          </c:extLst>
        </c:ser>
        <c:ser>
          <c:idx val="2"/>
          <c:order val="2"/>
          <c:tx>
            <c:strRef>
              <c:f>Sheet1!$D$1</c:f>
              <c:strCache>
                <c:ptCount val="1"/>
                <c:pt idx="0">
                  <c:v>60KHz</c:v>
                </c:pt>
              </c:strCache>
            </c:strRef>
          </c:tx>
          <c:spPr>
            <a:solidFill>
              <a:schemeClr val="accent3"/>
            </a:solidFill>
            <a:ln>
              <a:noFill/>
            </a:ln>
            <a:effectLst/>
          </c:spPr>
          <c:invertIfNegative val="0"/>
          <c:cat>
            <c:strRef>
              <c:f>Sheet1!$A$2:$A$4</c:f>
              <c:strCache>
                <c:ptCount val="3"/>
                <c:pt idx="0">
                  <c:v>15 % BO</c:v>
                </c:pt>
                <c:pt idx="1">
                  <c:v> 30 % BO</c:v>
                </c:pt>
                <c:pt idx="2">
                  <c:v>70 % BO</c:v>
                </c:pt>
              </c:strCache>
            </c:strRef>
          </c:cat>
          <c:val>
            <c:numRef>
              <c:f>Sheet1!$D$2:$D$4</c:f>
              <c:numCache>
                <c:formatCode>General</c:formatCode>
                <c:ptCount val="3"/>
                <c:pt idx="0">
                  <c:v>82.148399999999995</c:v>
                </c:pt>
                <c:pt idx="1">
                  <c:v>63.688699999999997</c:v>
                </c:pt>
                <c:pt idx="2">
                  <c:v>17.181000000000001</c:v>
                </c:pt>
              </c:numCache>
            </c:numRef>
          </c:val>
          <c:extLst>
            <c:ext xmlns:c16="http://schemas.microsoft.com/office/drawing/2014/chart" uri="{C3380CC4-5D6E-409C-BE32-E72D297353CC}">
              <c16:uniqueId val="{00000002-D79C-4393-BE59-731AAFAA664C}"/>
            </c:ext>
          </c:extLst>
        </c:ser>
        <c:dLbls>
          <c:showLegendKey val="0"/>
          <c:showVal val="0"/>
          <c:showCatName val="0"/>
          <c:showSerName val="0"/>
          <c:showPercent val="0"/>
          <c:showBubbleSize val="0"/>
        </c:dLbls>
        <c:gapWidth val="219"/>
        <c:overlap val="-27"/>
        <c:axId val="690056824"/>
        <c:axId val="690057152"/>
      </c:barChart>
      <c:catAx>
        <c:axId val="6900568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0057152"/>
        <c:crosses val="autoZero"/>
        <c:auto val="1"/>
        <c:lblAlgn val="ctr"/>
        <c:lblOffset val="100"/>
        <c:noMultiLvlLbl val="0"/>
      </c:catAx>
      <c:valAx>
        <c:axId val="6900571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00568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v1315</b:Tag>
    <b:SourceType>Report</b:SourceType>
    <b:Guid>{447202DD-D235-41E8-9B15-90955BD56465}</b:Guid>
    <b:Title>Feasibility study on licensed-assisted access to unlicensed spectrum</b:Title>
    <b:Year>2015</b:Year>
    <b:URL>www.3gpp.org</b:URL>
    <b:Author>
      <b:Author>
        <b:Corporate>3GPP TR 36.889 v13.0.0</b:Corporate>
      </b:Author>
    </b:Author>
    <b:RefOrder>7</b:RefOrder>
  </b:Source>
</b:Sources>
</file>

<file path=customXml/itemProps1.xml><?xml version="1.0" encoding="utf-8"?>
<ds:datastoreItem xmlns:ds="http://schemas.openxmlformats.org/officeDocument/2006/customXml" ds:itemID="{E26768E3-5550-4BEA-BCA6-840CB3A14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Template>
  <TotalTime>0</TotalTime>
  <Pages>7</Pages>
  <Words>2700</Words>
  <Characters>15393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18057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Reem</cp:lastModifiedBy>
  <cp:revision>25</cp:revision>
  <cp:lastPrinted>2008-01-31T07:09:00Z</cp:lastPrinted>
  <dcterms:created xsi:type="dcterms:W3CDTF">2018-08-09T11:35:00Z</dcterms:created>
  <dcterms:modified xsi:type="dcterms:W3CDTF">2018-08-11T00:42:00Z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